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B59EE" w14:textId="1D000B4B" w:rsidR="00571683" w:rsidRDefault="0083429E" w:rsidP="003B1581">
      <w:pPr>
        <w:jc w:val="center"/>
        <w:rPr>
          <w:b/>
          <w:bCs/>
        </w:rPr>
      </w:pPr>
      <w:r>
        <w:rPr>
          <w:b/>
          <w:bCs/>
        </w:rPr>
        <w:t xml:space="preserve">USD Credit </w:t>
      </w:r>
      <w:r w:rsidR="00EA45CA">
        <w:rPr>
          <w:b/>
          <w:bCs/>
        </w:rPr>
        <w:t>Sensitive</w:t>
      </w:r>
      <w:r>
        <w:rPr>
          <w:b/>
          <w:bCs/>
        </w:rPr>
        <w:t xml:space="preserve"> Rate</w:t>
      </w:r>
      <w:r w:rsidR="002F63C1">
        <w:rPr>
          <w:b/>
          <w:bCs/>
        </w:rPr>
        <w:t>s</w:t>
      </w:r>
      <w:r w:rsidR="00EA45CA">
        <w:rPr>
          <w:b/>
          <w:bCs/>
        </w:rPr>
        <w:t xml:space="preserve"> for LIBOR Replacement</w:t>
      </w:r>
    </w:p>
    <w:p w14:paraId="46EBAC0C" w14:textId="77777777" w:rsidR="003B1581" w:rsidRDefault="003B1581" w:rsidP="003B1581">
      <w:pPr>
        <w:rPr>
          <w:b/>
          <w:bCs/>
        </w:rPr>
      </w:pPr>
    </w:p>
    <w:tbl>
      <w:tblPr>
        <w:tblStyle w:val="TableGrid"/>
        <w:tblW w:w="15210" w:type="dxa"/>
        <w:tblInd w:w="-1175" w:type="dxa"/>
        <w:tblLook w:val="04A0" w:firstRow="1" w:lastRow="0" w:firstColumn="1" w:lastColumn="0" w:noHBand="0" w:noVBand="1"/>
      </w:tblPr>
      <w:tblGrid>
        <w:gridCol w:w="1501"/>
        <w:gridCol w:w="2284"/>
        <w:gridCol w:w="2285"/>
        <w:gridCol w:w="2285"/>
        <w:gridCol w:w="2285"/>
        <w:gridCol w:w="2285"/>
        <w:gridCol w:w="2285"/>
      </w:tblGrid>
      <w:tr w:rsidR="00F33A7A" w:rsidRPr="003B1581" w14:paraId="2E4D7DD6" w14:textId="1E0C3BCA" w:rsidTr="00F33A7A">
        <w:trPr>
          <w:trHeight w:val="576"/>
          <w:tblHeader/>
        </w:trPr>
        <w:tc>
          <w:tcPr>
            <w:tcW w:w="1501" w:type="dxa"/>
            <w:shd w:val="clear" w:color="auto" w:fill="DDEBCD" w:themeFill="accent1" w:themeFillTint="33"/>
            <w:vAlign w:val="center"/>
          </w:tcPr>
          <w:p w14:paraId="22B8FF6D" w14:textId="19317ACE" w:rsidR="00F33A7A" w:rsidRPr="00F652DC" w:rsidRDefault="00F33A7A" w:rsidP="00F33A7A">
            <w:pPr>
              <w:pStyle w:val="BodyTextContinued"/>
              <w:spacing w:after="0"/>
              <w:jc w:val="center"/>
              <w:rPr>
                <w:rFonts w:cs="Arial"/>
                <w:b/>
                <w:bCs/>
                <w:szCs w:val="21"/>
                <w:lang w:eastAsia="en-US"/>
              </w:rPr>
            </w:pPr>
          </w:p>
        </w:tc>
        <w:tc>
          <w:tcPr>
            <w:tcW w:w="2284" w:type="dxa"/>
            <w:shd w:val="clear" w:color="auto" w:fill="DDEBCD" w:themeFill="accent1" w:themeFillTint="33"/>
            <w:vAlign w:val="center"/>
          </w:tcPr>
          <w:p w14:paraId="63978BB3" w14:textId="49E89BAB" w:rsidR="00F33A7A" w:rsidRDefault="00F33A7A" w:rsidP="00F33A7A">
            <w:pPr>
              <w:jc w:val="center"/>
              <w:rPr>
                <w:b/>
                <w:bCs/>
              </w:rPr>
            </w:pPr>
            <w:r>
              <w:rPr>
                <w:b/>
                <w:bCs/>
              </w:rPr>
              <w:t>LIBOR</w:t>
            </w:r>
          </w:p>
        </w:tc>
        <w:tc>
          <w:tcPr>
            <w:tcW w:w="2285" w:type="dxa"/>
            <w:shd w:val="clear" w:color="auto" w:fill="DDEBCD" w:themeFill="accent1" w:themeFillTint="33"/>
            <w:vAlign w:val="center"/>
          </w:tcPr>
          <w:p w14:paraId="0DA8DA2A" w14:textId="3383D538" w:rsidR="00F33A7A" w:rsidRPr="00F652DC" w:rsidRDefault="00F33A7A" w:rsidP="00F33A7A">
            <w:pPr>
              <w:jc w:val="center"/>
              <w:rPr>
                <w:b/>
                <w:bCs/>
              </w:rPr>
            </w:pPr>
            <w:r>
              <w:rPr>
                <w:b/>
                <w:bCs/>
              </w:rPr>
              <w:t>SOFR</w:t>
            </w:r>
          </w:p>
        </w:tc>
        <w:tc>
          <w:tcPr>
            <w:tcW w:w="2285" w:type="dxa"/>
            <w:shd w:val="clear" w:color="auto" w:fill="DDEBCD" w:themeFill="accent1" w:themeFillTint="33"/>
            <w:vAlign w:val="center"/>
          </w:tcPr>
          <w:p w14:paraId="4AD48527" w14:textId="06C8E721" w:rsidR="00F33A7A" w:rsidRPr="00F652DC" w:rsidRDefault="00F33A7A" w:rsidP="00F33A7A">
            <w:pPr>
              <w:jc w:val="center"/>
              <w:rPr>
                <w:b/>
                <w:bCs/>
              </w:rPr>
            </w:pPr>
            <w:r>
              <w:rPr>
                <w:b/>
                <w:bCs/>
              </w:rPr>
              <w:t>BSBY</w:t>
            </w:r>
          </w:p>
        </w:tc>
        <w:tc>
          <w:tcPr>
            <w:tcW w:w="2285" w:type="dxa"/>
            <w:shd w:val="clear" w:color="auto" w:fill="DDEBCD" w:themeFill="accent1" w:themeFillTint="33"/>
            <w:vAlign w:val="center"/>
          </w:tcPr>
          <w:p w14:paraId="2E2BC567" w14:textId="0A43CA1C" w:rsidR="00F33A7A" w:rsidRPr="00F652DC" w:rsidRDefault="002B315B" w:rsidP="00F33A7A">
            <w:pPr>
              <w:jc w:val="center"/>
              <w:rPr>
                <w:b/>
                <w:bCs/>
              </w:rPr>
            </w:pPr>
            <w:r>
              <w:rPr>
                <w:b/>
                <w:bCs/>
              </w:rPr>
              <w:t>CRITS</w:t>
            </w:r>
          </w:p>
        </w:tc>
        <w:tc>
          <w:tcPr>
            <w:tcW w:w="2285" w:type="dxa"/>
            <w:shd w:val="clear" w:color="auto" w:fill="DDEBCD" w:themeFill="accent1" w:themeFillTint="33"/>
            <w:vAlign w:val="center"/>
          </w:tcPr>
          <w:p w14:paraId="6040BADC" w14:textId="385ABE62" w:rsidR="00F33A7A" w:rsidRPr="00F652DC" w:rsidRDefault="00F33A7A" w:rsidP="00F33A7A">
            <w:pPr>
              <w:jc w:val="center"/>
              <w:rPr>
                <w:b/>
                <w:bCs/>
              </w:rPr>
            </w:pPr>
            <w:r w:rsidRPr="00F652DC">
              <w:rPr>
                <w:b/>
                <w:bCs/>
              </w:rPr>
              <w:t>Ameribor</w:t>
            </w:r>
          </w:p>
        </w:tc>
        <w:tc>
          <w:tcPr>
            <w:tcW w:w="2285" w:type="dxa"/>
            <w:shd w:val="clear" w:color="auto" w:fill="DDEBCD" w:themeFill="accent1" w:themeFillTint="33"/>
            <w:vAlign w:val="center"/>
          </w:tcPr>
          <w:p w14:paraId="1E86019C" w14:textId="4BB5D176" w:rsidR="00F33A7A" w:rsidRPr="00F652DC" w:rsidRDefault="00F33A7A" w:rsidP="00F33A7A">
            <w:pPr>
              <w:jc w:val="center"/>
              <w:rPr>
                <w:b/>
                <w:bCs/>
              </w:rPr>
            </w:pPr>
            <w:r>
              <w:rPr>
                <w:b/>
                <w:bCs/>
              </w:rPr>
              <w:t>Bank Yield Index</w:t>
            </w:r>
          </w:p>
        </w:tc>
      </w:tr>
      <w:tr w:rsidR="00F33A7A" w:rsidRPr="003B1581" w14:paraId="2E1DECF6" w14:textId="031302F0" w:rsidTr="00F33A7A">
        <w:tc>
          <w:tcPr>
            <w:tcW w:w="1501" w:type="dxa"/>
          </w:tcPr>
          <w:p w14:paraId="300CA3D0" w14:textId="77777777" w:rsidR="00F33A7A" w:rsidRPr="003B1581" w:rsidRDefault="00F33A7A" w:rsidP="00F33A7A">
            <w:pPr>
              <w:pStyle w:val="BodyTextContinued"/>
              <w:spacing w:after="0"/>
              <w:jc w:val="left"/>
              <w:rPr>
                <w:rFonts w:cs="Arial"/>
                <w:szCs w:val="21"/>
                <w:lang w:eastAsia="en-US"/>
              </w:rPr>
            </w:pPr>
            <w:r w:rsidRPr="003B1581">
              <w:rPr>
                <w:rFonts w:cs="Arial"/>
                <w:szCs w:val="21"/>
                <w:lang w:eastAsia="en-US"/>
              </w:rPr>
              <w:t>Name of the rate</w:t>
            </w:r>
          </w:p>
        </w:tc>
        <w:tc>
          <w:tcPr>
            <w:tcW w:w="2284" w:type="dxa"/>
          </w:tcPr>
          <w:p w14:paraId="27F3B035" w14:textId="5944BECE" w:rsidR="00F33A7A" w:rsidRPr="0083429E" w:rsidRDefault="00DE643B" w:rsidP="00F33A7A">
            <w:pPr>
              <w:jc w:val="left"/>
            </w:pPr>
            <w:r>
              <w:t>London Interbank Offering Rate</w:t>
            </w:r>
          </w:p>
        </w:tc>
        <w:tc>
          <w:tcPr>
            <w:tcW w:w="2285" w:type="dxa"/>
          </w:tcPr>
          <w:p w14:paraId="4999415E" w14:textId="117AB3C9" w:rsidR="00F33A7A" w:rsidRPr="0083429E" w:rsidRDefault="00DE643B" w:rsidP="00F33A7A">
            <w:pPr>
              <w:jc w:val="left"/>
            </w:pPr>
            <w:r>
              <w:t>Secured Overnight Financing Rate</w:t>
            </w:r>
          </w:p>
        </w:tc>
        <w:tc>
          <w:tcPr>
            <w:tcW w:w="2285" w:type="dxa"/>
          </w:tcPr>
          <w:p w14:paraId="19A1B1C8" w14:textId="126316D8" w:rsidR="00F33A7A" w:rsidRPr="0083429E" w:rsidRDefault="00E867C8" w:rsidP="00F33A7A">
            <w:pPr>
              <w:jc w:val="left"/>
            </w:pPr>
            <w:r>
              <w:t>Bloomberg Short-Term Bank Yield Index</w:t>
            </w:r>
          </w:p>
        </w:tc>
        <w:tc>
          <w:tcPr>
            <w:tcW w:w="2285" w:type="dxa"/>
          </w:tcPr>
          <w:p w14:paraId="6FF53C79" w14:textId="5605051B" w:rsidR="00F33A7A" w:rsidRPr="003B1581" w:rsidRDefault="00F33A7A" w:rsidP="00F33A7A">
            <w:pPr>
              <w:jc w:val="left"/>
            </w:pPr>
            <w:r w:rsidRPr="0083429E">
              <w:t>IHS Markit USD Credit Spread Adjustment &amp; Rate</w:t>
            </w:r>
          </w:p>
        </w:tc>
        <w:tc>
          <w:tcPr>
            <w:tcW w:w="2285" w:type="dxa"/>
          </w:tcPr>
          <w:p w14:paraId="6ADA4B72" w14:textId="24CFC2FF" w:rsidR="00F33A7A" w:rsidRPr="0083429E" w:rsidRDefault="00F33A7A" w:rsidP="00F33A7A">
            <w:pPr>
              <w:jc w:val="left"/>
            </w:pPr>
            <w:r w:rsidRPr="001D75BE">
              <w:t>American Interbank Offered Rate (AMERIBOR)</w:t>
            </w:r>
          </w:p>
        </w:tc>
        <w:tc>
          <w:tcPr>
            <w:tcW w:w="2285" w:type="dxa"/>
          </w:tcPr>
          <w:p w14:paraId="792798CF" w14:textId="6FC4711C" w:rsidR="00F33A7A" w:rsidRPr="001D75BE" w:rsidRDefault="00F33A7A" w:rsidP="00F33A7A">
            <w:pPr>
              <w:jc w:val="left"/>
            </w:pPr>
            <w:r>
              <w:t>ICE Bank Yield Index</w:t>
            </w:r>
          </w:p>
        </w:tc>
      </w:tr>
      <w:tr w:rsidR="00F33A7A" w:rsidRPr="003B1581" w14:paraId="1C751779" w14:textId="23F570C4" w:rsidTr="00F33A7A">
        <w:tc>
          <w:tcPr>
            <w:tcW w:w="1501" w:type="dxa"/>
          </w:tcPr>
          <w:p w14:paraId="3D5C11B0" w14:textId="77777777" w:rsidR="00F33A7A" w:rsidRPr="003B1581" w:rsidRDefault="00F33A7A" w:rsidP="00F33A7A">
            <w:pPr>
              <w:jc w:val="left"/>
            </w:pPr>
            <w:r w:rsidRPr="003B1581">
              <w:t>Who prepares it</w:t>
            </w:r>
          </w:p>
        </w:tc>
        <w:tc>
          <w:tcPr>
            <w:tcW w:w="2284" w:type="dxa"/>
          </w:tcPr>
          <w:p w14:paraId="1A2E7122" w14:textId="1D3EC3F5" w:rsidR="00F33A7A" w:rsidRDefault="00F33A7A" w:rsidP="00F33A7A">
            <w:pPr>
              <w:jc w:val="left"/>
            </w:pPr>
            <w:r>
              <w:rPr>
                <w:rFonts w:eastAsia="Times New Roman"/>
              </w:rPr>
              <w:t>Intercontinental Exchange (ICE)</w:t>
            </w:r>
          </w:p>
        </w:tc>
        <w:tc>
          <w:tcPr>
            <w:tcW w:w="2285" w:type="dxa"/>
          </w:tcPr>
          <w:p w14:paraId="615C10DB" w14:textId="1864D57E" w:rsidR="00F33A7A" w:rsidRDefault="00031A9F" w:rsidP="00F33A7A">
            <w:pPr>
              <w:jc w:val="left"/>
            </w:pPr>
            <w:r w:rsidRPr="00031A9F">
              <w:t>Federal Reserve Bank of New York</w:t>
            </w:r>
          </w:p>
        </w:tc>
        <w:tc>
          <w:tcPr>
            <w:tcW w:w="2285" w:type="dxa"/>
          </w:tcPr>
          <w:p w14:paraId="5D9EA051" w14:textId="12C9E200" w:rsidR="00F33A7A" w:rsidRDefault="00F33A7A" w:rsidP="00F33A7A">
            <w:pPr>
              <w:jc w:val="left"/>
            </w:pPr>
            <w:r>
              <w:t>Bloomberg</w:t>
            </w:r>
          </w:p>
        </w:tc>
        <w:tc>
          <w:tcPr>
            <w:tcW w:w="2285" w:type="dxa"/>
          </w:tcPr>
          <w:p w14:paraId="101F510D" w14:textId="6B2DF861" w:rsidR="00F33A7A" w:rsidRPr="003B1581" w:rsidRDefault="00F33A7A" w:rsidP="00F33A7A">
            <w:pPr>
              <w:jc w:val="left"/>
            </w:pPr>
            <w:r>
              <w:t>IHS Markit</w:t>
            </w:r>
          </w:p>
        </w:tc>
        <w:tc>
          <w:tcPr>
            <w:tcW w:w="2285" w:type="dxa"/>
          </w:tcPr>
          <w:p w14:paraId="6EE2EF5B" w14:textId="3F23AC04" w:rsidR="00F33A7A" w:rsidRDefault="00F33A7A" w:rsidP="00F33A7A">
            <w:pPr>
              <w:jc w:val="left"/>
            </w:pPr>
            <w:r w:rsidRPr="003D6297">
              <w:rPr>
                <w:rFonts w:eastAsia="Times New Roman"/>
              </w:rPr>
              <w:t>American</w:t>
            </w:r>
            <w:r>
              <w:rPr>
                <w:rFonts w:eastAsia="Times New Roman"/>
              </w:rPr>
              <w:t xml:space="preserve"> Financial Exchange, LLC (AFX)</w:t>
            </w:r>
          </w:p>
        </w:tc>
        <w:tc>
          <w:tcPr>
            <w:tcW w:w="2285" w:type="dxa"/>
          </w:tcPr>
          <w:p w14:paraId="424C7673" w14:textId="73B41BD6" w:rsidR="00F33A7A" w:rsidRPr="003D6297" w:rsidRDefault="00F33A7A" w:rsidP="00F33A7A">
            <w:pPr>
              <w:jc w:val="left"/>
              <w:rPr>
                <w:rFonts w:eastAsia="Times New Roman"/>
              </w:rPr>
            </w:pPr>
            <w:r>
              <w:rPr>
                <w:rFonts w:eastAsia="Times New Roman"/>
              </w:rPr>
              <w:t>Intercontinental Exchange (ICE)</w:t>
            </w:r>
          </w:p>
        </w:tc>
      </w:tr>
      <w:tr w:rsidR="00F33A7A" w:rsidRPr="003B1581" w14:paraId="38527471" w14:textId="37662413" w:rsidTr="00F33A7A">
        <w:tc>
          <w:tcPr>
            <w:tcW w:w="1501" w:type="dxa"/>
          </w:tcPr>
          <w:p w14:paraId="7CA7DAAE" w14:textId="77777777" w:rsidR="00F33A7A" w:rsidRPr="003B1581" w:rsidRDefault="00F33A7A" w:rsidP="00F33A7A">
            <w:pPr>
              <w:jc w:val="left"/>
            </w:pPr>
            <w:r w:rsidRPr="003B1581">
              <w:t>What is the basis for the calculation</w:t>
            </w:r>
          </w:p>
        </w:tc>
        <w:tc>
          <w:tcPr>
            <w:tcW w:w="2284" w:type="dxa"/>
          </w:tcPr>
          <w:p w14:paraId="394B4FF8" w14:textId="77777777" w:rsidR="00611982" w:rsidRDefault="00611982" w:rsidP="00907FF2">
            <w:pPr>
              <w:jc w:val="left"/>
            </w:pPr>
            <w:r w:rsidRPr="00611982">
              <w:t>Several benchmarks reflecting the average interest rate that large international banks charge each other for short-term loans.</w:t>
            </w:r>
          </w:p>
          <w:p w14:paraId="7010B72F" w14:textId="77777777" w:rsidR="00611982" w:rsidRDefault="00611982" w:rsidP="00907FF2">
            <w:pPr>
              <w:jc w:val="left"/>
            </w:pPr>
          </w:p>
          <w:p w14:paraId="7251ACAF" w14:textId="391A4342" w:rsidR="00907FF2" w:rsidRDefault="00611982" w:rsidP="00907FF2">
            <w:pPr>
              <w:jc w:val="left"/>
            </w:pPr>
            <w:r w:rsidRPr="00611982">
              <w:t xml:space="preserve">Every day, </w:t>
            </w:r>
            <w:r>
              <w:t>by</w:t>
            </w:r>
            <w:r w:rsidRPr="00611982">
              <w:t xml:space="preserve"> 11 </w:t>
            </w:r>
            <w:r>
              <w:t>a.m.</w:t>
            </w:r>
            <w:r w:rsidRPr="00611982">
              <w:t xml:space="preserve"> London time, the ICE Benchmark Administration (IBA) asks a panel of 11-16 contributor banks at what rate they could borrow funds, were they to do so by asking for and then accepting interbank offers in a reasonable market size just prior to 11 </w:t>
            </w:r>
            <w:r>
              <w:t>a.m.</w:t>
            </w:r>
            <w:r w:rsidRPr="00611982">
              <w:t xml:space="preserve"> London time. </w:t>
            </w:r>
          </w:p>
          <w:p w14:paraId="2E04D925" w14:textId="77777777" w:rsidR="00907FF2" w:rsidRDefault="00907FF2" w:rsidP="00907FF2">
            <w:pPr>
              <w:jc w:val="left"/>
            </w:pPr>
          </w:p>
          <w:p w14:paraId="3D4F9BAD" w14:textId="1AB71F39" w:rsidR="00F33A7A" w:rsidRDefault="00DE643B" w:rsidP="00F33A7A">
            <w:pPr>
              <w:jc w:val="left"/>
            </w:pPr>
            <w:r>
              <w:t>Trimmed arithmetic mean (</w:t>
            </w:r>
            <w:r w:rsidR="00611982">
              <w:t>o</w:t>
            </w:r>
            <w:r w:rsidR="00611982" w:rsidRPr="00611982">
              <w:t>utlier responses are eliminated</w:t>
            </w:r>
            <w:r>
              <w:t xml:space="preserve">) </w:t>
            </w:r>
            <w:r w:rsidR="00611982" w:rsidRPr="00611982">
              <w:t>rounded to five decimal places.</w:t>
            </w:r>
          </w:p>
        </w:tc>
        <w:tc>
          <w:tcPr>
            <w:tcW w:w="2285" w:type="dxa"/>
          </w:tcPr>
          <w:p w14:paraId="2B922B00" w14:textId="42297654" w:rsidR="00031A9F" w:rsidRDefault="00031A9F" w:rsidP="00031A9F">
            <w:pPr>
              <w:jc w:val="left"/>
            </w:pPr>
            <w:r w:rsidRPr="00031A9F">
              <w:t>Broad, trimmed, secured rate based on transaction data from a variety of sources: tri-party repos (through Bank of New York Mellon); the DTCC's General Collateral Financing (GCF) service; and bilateral repos cleared by the DTCC's FICC subsidiary.</w:t>
            </w:r>
          </w:p>
          <w:p w14:paraId="09549B84" w14:textId="77777777" w:rsidR="00031A9F" w:rsidRDefault="00031A9F" w:rsidP="00031A9F">
            <w:pPr>
              <w:jc w:val="left"/>
            </w:pPr>
          </w:p>
          <w:p w14:paraId="5391EEFD" w14:textId="218869EE" w:rsidR="00031A9F" w:rsidRPr="00031A9F" w:rsidRDefault="00031A9F" w:rsidP="00031A9F">
            <w:pPr>
              <w:jc w:val="left"/>
            </w:pPr>
            <w:r w:rsidRPr="00031A9F">
              <w:t>Transactions by the Federal Reserve in the repo market will not be included.</w:t>
            </w:r>
          </w:p>
          <w:p w14:paraId="50A7019F" w14:textId="77777777" w:rsidR="00F33A7A" w:rsidRDefault="00F33A7A" w:rsidP="00F33A7A">
            <w:pPr>
              <w:jc w:val="left"/>
            </w:pPr>
          </w:p>
          <w:p w14:paraId="1D7DEF16" w14:textId="31F60AAD" w:rsidR="00020EB9" w:rsidRDefault="00020EB9" w:rsidP="00F33A7A">
            <w:pPr>
              <w:jc w:val="left"/>
            </w:pPr>
            <w:r>
              <w:t>C</w:t>
            </w:r>
            <w:r w:rsidRPr="00020EB9">
              <w:t>alculated as a volume-weighted median, which is the rate associated with transactions at the 50th percentile of transaction volume.</w:t>
            </w:r>
          </w:p>
        </w:tc>
        <w:tc>
          <w:tcPr>
            <w:tcW w:w="2285" w:type="dxa"/>
          </w:tcPr>
          <w:p w14:paraId="26C0873D" w14:textId="688FBE03" w:rsidR="00F33A7A" w:rsidRPr="00E867C8" w:rsidRDefault="00E867C8" w:rsidP="00F33A7A">
            <w:pPr>
              <w:jc w:val="left"/>
              <w:rPr>
                <w:i/>
                <w:iCs/>
              </w:rPr>
            </w:pPr>
            <w:r>
              <w:t xml:space="preserve">Anonymized transactions and </w:t>
            </w:r>
            <w:r>
              <w:rPr>
                <w:i/>
                <w:iCs/>
              </w:rPr>
              <w:t xml:space="preserve">executable </w:t>
            </w:r>
            <w:r w:rsidRPr="00E867C8">
              <w:t xml:space="preserve">quotes of a 3 day rolling period with no subjective input.  The rates are based on instruments that have averaged more than </w:t>
            </w:r>
            <w:r>
              <w:t xml:space="preserve">$200B sourced from Bloomberg’s FX and money market electronic trading solutions and trade s of senior unsecured bank corporate bonds (FINRA).  A curve fitting </w:t>
            </w:r>
            <w:r w:rsidR="00EE643D">
              <w:t>methodology</w:t>
            </w:r>
            <w:r>
              <w:t xml:space="preserve"> calculates the term years.  </w:t>
            </w:r>
          </w:p>
        </w:tc>
        <w:tc>
          <w:tcPr>
            <w:tcW w:w="2285" w:type="dxa"/>
          </w:tcPr>
          <w:p w14:paraId="0477A766" w14:textId="0DC2B39C" w:rsidR="00F33A7A" w:rsidRDefault="00F33A7A" w:rsidP="00F33A7A">
            <w:pPr>
              <w:jc w:val="left"/>
            </w:pPr>
            <w:r>
              <w:t>Datasets: Certificates of deposit, commercial paper, corporate bond transactions and indicative price quotes</w:t>
            </w:r>
            <w:r w:rsidR="00FF45F4">
              <w:t>.</w:t>
            </w:r>
          </w:p>
          <w:p w14:paraId="0CFC5D90" w14:textId="77777777" w:rsidR="00F33A7A" w:rsidRDefault="00F33A7A" w:rsidP="00F33A7A">
            <w:pPr>
              <w:jc w:val="left"/>
            </w:pPr>
          </w:p>
          <w:p w14:paraId="6C047BFD" w14:textId="01712E2F" w:rsidR="00F33A7A" w:rsidRDefault="00F33A7A" w:rsidP="00F33A7A">
            <w:pPr>
              <w:jc w:val="left"/>
            </w:pPr>
            <w:r>
              <w:t>Filtering: Institution type, transaction size, coupon range, issuance size, days to maturity and various bond types/characteristics</w:t>
            </w:r>
            <w:r w:rsidR="00FF45F4">
              <w:t>.</w:t>
            </w:r>
          </w:p>
          <w:p w14:paraId="6E830093" w14:textId="77777777" w:rsidR="00F33A7A" w:rsidRDefault="00F33A7A" w:rsidP="00F33A7A">
            <w:pPr>
              <w:jc w:val="left"/>
            </w:pPr>
          </w:p>
          <w:p w14:paraId="4E7D4F27" w14:textId="1A98D2E5" w:rsidR="00F33A7A" w:rsidRPr="003B1581" w:rsidRDefault="00F33A7A" w:rsidP="00F33A7A">
            <w:pPr>
              <w:jc w:val="left"/>
            </w:pPr>
            <w:r>
              <w:t xml:space="preserve">Only takes data from banking institutions, filters out data from industrials, utilities, non-bank financials. </w:t>
            </w:r>
          </w:p>
        </w:tc>
        <w:tc>
          <w:tcPr>
            <w:tcW w:w="2285" w:type="dxa"/>
          </w:tcPr>
          <w:p w14:paraId="4EF38F93" w14:textId="3D05F3EB" w:rsidR="00F33A7A" w:rsidRDefault="00F33A7A" w:rsidP="00F33A7A">
            <w:pPr>
              <w:jc w:val="left"/>
            </w:pPr>
            <w:r>
              <w:t>I</w:t>
            </w:r>
            <w:r w:rsidRPr="001D75BE">
              <w:t>nterest rate benchmark calculated as a volume-weighted average of the daily transactions in the Ameribor overnight unsecured loan market on the AFX, which is a self-regulated exchange operating since 2015. Ameribor is an interest rate expressed on an actual/360 day count and following business day convention basis that is rounded to the fifth decimal place.</w:t>
            </w:r>
          </w:p>
        </w:tc>
        <w:tc>
          <w:tcPr>
            <w:tcW w:w="2285" w:type="dxa"/>
          </w:tcPr>
          <w:p w14:paraId="174A0FFC" w14:textId="322B31EA" w:rsidR="00F33A7A" w:rsidRDefault="00F33A7A" w:rsidP="00F33A7A">
            <w:pPr>
              <w:jc w:val="left"/>
            </w:pPr>
            <w:r>
              <w:t>Forward-looking transaction-based benchmark derived from: (i) primary market whole, unsecured funding transactions for large, internationally active banks; and (ii) secondary market transactions in wholesale, unsecured bonds issued by large, internationally active banks.</w:t>
            </w:r>
          </w:p>
          <w:p w14:paraId="2334239C" w14:textId="77777777" w:rsidR="00F33A7A" w:rsidRDefault="00F33A7A" w:rsidP="00F33A7A">
            <w:pPr>
              <w:jc w:val="left"/>
            </w:pPr>
          </w:p>
          <w:p w14:paraId="7F4B22ED" w14:textId="77777777" w:rsidR="00F33A7A" w:rsidRDefault="00F33A7A" w:rsidP="00F33A7A">
            <w:pPr>
              <w:jc w:val="left"/>
            </w:pPr>
            <w:r>
              <w:t>Based on a transaction data for a rolling 5-day collection window.</w:t>
            </w:r>
          </w:p>
          <w:p w14:paraId="7570F846" w14:textId="77777777" w:rsidR="00F33A7A" w:rsidRDefault="00F33A7A" w:rsidP="00F33A7A">
            <w:pPr>
              <w:jc w:val="left"/>
            </w:pPr>
          </w:p>
          <w:p w14:paraId="766550EE" w14:textId="31DC00E5" w:rsidR="00F33A7A" w:rsidRDefault="00F33A7A" w:rsidP="00F33A7A">
            <w:pPr>
              <w:jc w:val="left"/>
            </w:pPr>
            <w:r>
              <w:t xml:space="preserve">Across the 5 days, this requires a minimum aggregate funding transaction volume of $15 billion across all eligible transactions and a </w:t>
            </w:r>
            <w:r>
              <w:lastRenderedPageBreak/>
              <w:t>minimum eligible transaction count of 100.</w:t>
            </w:r>
          </w:p>
        </w:tc>
      </w:tr>
      <w:tr w:rsidR="00F33A7A" w:rsidRPr="003B1581" w14:paraId="68E9E157" w14:textId="05226A6D" w:rsidTr="00F33A7A">
        <w:tc>
          <w:tcPr>
            <w:tcW w:w="1501" w:type="dxa"/>
          </w:tcPr>
          <w:p w14:paraId="063F8AED" w14:textId="77777777" w:rsidR="00F33A7A" w:rsidRPr="003B1581" w:rsidRDefault="00F33A7A" w:rsidP="00F33A7A">
            <w:pPr>
              <w:jc w:val="left"/>
            </w:pPr>
            <w:r w:rsidRPr="003B1581">
              <w:lastRenderedPageBreak/>
              <w:t>What Tenors are available</w:t>
            </w:r>
          </w:p>
        </w:tc>
        <w:tc>
          <w:tcPr>
            <w:tcW w:w="2284" w:type="dxa"/>
          </w:tcPr>
          <w:p w14:paraId="48B33C8D" w14:textId="2FAD9C9D" w:rsidR="00907FF2" w:rsidRDefault="00611982" w:rsidP="00F33A7A">
            <w:pPr>
              <w:jc w:val="left"/>
            </w:pPr>
            <w:r>
              <w:rPr>
                <w:color w:val="202124"/>
                <w:shd w:val="clear" w:color="auto" w:fill="FFFFFF"/>
              </w:rPr>
              <w:t>Overnight, 1W, 1M, 2M, 3M, 6M, and 12M for each of USD, GBP, EUR, CHF, and JPY (35 tenors altogether)</w:t>
            </w:r>
            <w:r w:rsidR="00FF45F4">
              <w:rPr>
                <w:color w:val="202124"/>
                <w:shd w:val="clear" w:color="auto" w:fill="FFFFFF"/>
              </w:rPr>
              <w:t>.</w:t>
            </w:r>
          </w:p>
        </w:tc>
        <w:tc>
          <w:tcPr>
            <w:tcW w:w="2285" w:type="dxa"/>
          </w:tcPr>
          <w:p w14:paraId="470CDE5D" w14:textId="58BEED97" w:rsidR="00F33A7A" w:rsidRDefault="00DE643B" w:rsidP="00F33A7A">
            <w:pPr>
              <w:jc w:val="left"/>
            </w:pPr>
            <w:r>
              <w:t>Overnight only (see above for published averages)</w:t>
            </w:r>
            <w:r w:rsidR="00FF45F4">
              <w:t>.</w:t>
            </w:r>
          </w:p>
        </w:tc>
        <w:tc>
          <w:tcPr>
            <w:tcW w:w="2285" w:type="dxa"/>
          </w:tcPr>
          <w:p w14:paraId="7CFDF46A" w14:textId="360982D0" w:rsidR="00F33A7A" w:rsidRDefault="00FF45F4" w:rsidP="00F33A7A">
            <w:pPr>
              <w:jc w:val="left"/>
            </w:pPr>
            <w:r>
              <w:t>O</w:t>
            </w:r>
            <w:r w:rsidR="00E867C8">
              <w:t>vernight, 1 month, 3 month, 6 month and 12 month terms</w:t>
            </w:r>
            <w:r>
              <w:t>.</w:t>
            </w:r>
          </w:p>
        </w:tc>
        <w:tc>
          <w:tcPr>
            <w:tcW w:w="2285" w:type="dxa"/>
          </w:tcPr>
          <w:p w14:paraId="4EC14E69" w14:textId="25EC26D4" w:rsidR="00F33A7A" w:rsidRPr="003B1581" w:rsidRDefault="00F33A7A" w:rsidP="00F33A7A">
            <w:pPr>
              <w:jc w:val="left"/>
            </w:pPr>
            <w:r>
              <w:t>USD for 1D, 1M, 3M, 6M, and 12M (produced daily)</w:t>
            </w:r>
            <w:r w:rsidR="00FF45F4">
              <w:t>.</w:t>
            </w:r>
          </w:p>
        </w:tc>
        <w:tc>
          <w:tcPr>
            <w:tcW w:w="2285" w:type="dxa"/>
          </w:tcPr>
          <w:p w14:paraId="215552F3" w14:textId="6F9A4E82" w:rsidR="00F33A7A" w:rsidRDefault="00F33A7A" w:rsidP="00F33A7A">
            <w:pPr>
              <w:jc w:val="left"/>
            </w:pPr>
            <w:r w:rsidRPr="001D75BE">
              <w:t>The headline rate is an overnight tenor, but there are mentions of 1- and 3-month tenors and there appear to be 7- and 14-day tenors, as well</w:t>
            </w:r>
            <w:r w:rsidR="00FF45F4">
              <w:t>.</w:t>
            </w:r>
          </w:p>
        </w:tc>
        <w:tc>
          <w:tcPr>
            <w:tcW w:w="2285" w:type="dxa"/>
          </w:tcPr>
          <w:p w14:paraId="26BD1CBB" w14:textId="47294ABC" w:rsidR="00F33A7A" w:rsidRPr="001D75BE" w:rsidRDefault="00F33A7A" w:rsidP="00F33A7A">
            <w:pPr>
              <w:jc w:val="left"/>
            </w:pPr>
            <w:r>
              <w:t>USD for 1M, 3M, 6M, and 12M, from the curve values at 30, 91, 182 and 365 days to maturity respectively.</w:t>
            </w:r>
          </w:p>
        </w:tc>
      </w:tr>
      <w:tr w:rsidR="00F33A7A" w:rsidRPr="003B1581" w14:paraId="558BC4E8" w14:textId="4A95256F" w:rsidTr="00F33A7A">
        <w:tc>
          <w:tcPr>
            <w:tcW w:w="1501" w:type="dxa"/>
          </w:tcPr>
          <w:p w14:paraId="3AAD2542" w14:textId="77777777" w:rsidR="00F33A7A" w:rsidRPr="003B1581" w:rsidRDefault="00F33A7A" w:rsidP="00F33A7A">
            <w:pPr>
              <w:jc w:val="left"/>
            </w:pPr>
            <w:r w:rsidRPr="003B1581">
              <w:t>Where is it published</w:t>
            </w:r>
          </w:p>
        </w:tc>
        <w:tc>
          <w:tcPr>
            <w:tcW w:w="2284" w:type="dxa"/>
          </w:tcPr>
          <w:p w14:paraId="2D1FC8F4" w14:textId="75AE717D" w:rsidR="00F33A7A" w:rsidRDefault="00611982" w:rsidP="00F33A7A">
            <w:pPr>
              <w:jc w:val="left"/>
            </w:pPr>
            <w:r>
              <w:t xml:space="preserve">Published each London business day at 11:55 AM by the IBA and available real-time through redistribution partners with a license from IBA, like </w:t>
            </w:r>
            <w:r w:rsidR="00907FF2">
              <w:t>Bloomberg/ other services</w:t>
            </w:r>
            <w:r w:rsidR="00FF45F4">
              <w:t>.</w:t>
            </w:r>
          </w:p>
        </w:tc>
        <w:tc>
          <w:tcPr>
            <w:tcW w:w="2285" w:type="dxa"/>
          </w:tcPr>
          <w:p w14:paraId="571E082A" w14:textId="33943B97" w:rsidR="00F33A7A" w:rsidRDefault="00611982" w:rsidP="00F33A7A">
            <w:pPr>
              <w:jc w:val="left"/>
            </w:pPr>
            <w:r>
              <w:t xml:space="preserve">Published on the </w:t>
            </w:r>
            <w:r w:rsidR="00DE643B">
              <w:t xml:space="preserve">New York Fed </w:t>
            </w:r>
            <w:hyperlink r:id="rId10" w:history="1">
              <w:r w:rsidRPr="00020EB9">
                <w:rPr>
                  <w:rStyle w:val="Hyperlink"/>
                </w:rPr>
                <w:t>w</w:t>
              </w:r>
              <w:r w:rsidR="00DE643B" w:rsidRPr="00020EB9">
                <w:rPr>
                  <w:rStyle w:val="Hyperlink"/>
                </w:rPr>
                <w:t>ebsite</w:t>
              </w:r>
            </w:hyperlink>
            <w:r>
              <w:t xml:space="preserve"> every business day at 8</w:t>
            </w:r>
            <w:r w:rsidR="00FF45F4">
              <w:t>:00</w:t>
            </w:r>
            <w:r>
              <w:t xml:space="preserve"> a.m. E.T.</w:t>
            </w:r>
          </w:p>
        </w:tc>
        <w:tc>
          <w:tcPr>
            <w:tcW w:w="2285" w:type="dxa"/>
          </w:tcPr>
          <w:p w14:paraId="36C6DB3F" w14:textId="77777777" w:rsidR="00F5180C" w:rsidRDefault="00E867C8" w:rsidP="00F33A7A">
            <w:pPr>
              <w:jc w:val="left"/>
            </w:pPr>
            <w:r>
              <w:t>B</w:t>
            </w:r>
            <w:r w:rsidR="00020EB9">
              <w:t>l</w:t>
            </w:r>
            <w:r>
              <w:t>oomberg Terminals, Tickers BSBYON, BSBY1M, BSBY3M, etc. at 8:00 am E</w:t>
            </w:r>
            <w:r w:rsidR="00FF45F4">
              <w:t>.</w:t>
            </w:r>
            <w:r>
              <w:t>T</w:t>
            </w:r>
            <w:r w:rsidR="00FF45F4">
              <w:t>.</w:t>
            </w:r>
            <w:r w:rsidR="00167AC9">
              <w:t xml:space="preserve"> It is available on a delayed basis at </w:t>
            </w:r>
          </w:p>
          <w:p w14:paraId="000CF913" w14:textId="77777777" w:rsidR="00F33A7A" w:rsidRDefault="003C517D" w:rsidP="00F33A7A">
            <w:pPr>
              <w:jc w:val="left"/>
            </w:pPr>
            <w:hyperlink r:id="rId11" w:history="1">
              <w:r w:rsidR="007E32C7">
                <w:rPr>
                  <w:rStyle w:val="Hyperlink"/>
                </w:rPr>
                <w:t>Bloomberg.com</w:t>
              </w:r>
            </w:hyperlink>
          </w:p>
          <w:p w14:paraId="68FA5A09" w14:textId="7DFD78B7" w:rsidR="007E32C7" w:rsidRDefault="007E32C7" w:rsidP="00F33A7A">
            <w:pPr>
              <w:jc w:val="left"/>
            </w:pPr>
          </w:p>
        </w:tc>
        <w:tc>
          <w:tcPr>
            <w:tcW w:w="2285" w:type="dxa"/>
          </w:tcPr>
          <w:p w14:paraId="1F7B3ACE" w14:textId="35967B06" w:rsidR="00F33A7A" w:rsidRPr="003B1581" w:rsidRDefault="00F33A7A" w:rsidP="00F33A7A">
            <w:pPr>
              <w:jc w:val="left"/>
            </w:pPr>
            <w:r>
              <w:t>IHS Markit website at 8 A.M. Eastern on T+1 basis</w:t>
            </w:r>
          </w:p>
        </w:tc>
        <w:tc>
          <w:tcPr>
            <w:tcW w:w="2285" w:type="dxa"/>
          </w:tcPr>
          <w:p w14:paraId="21184348" w14:textId="6ADFDA1B" w:rsidR="00F33A7A" w:rsidRDefault="00F33A7A" w:rsidP="00F33A7A">
            <w:pPr>
              <w:jc w:val="left"/>
            </w:pPr>
            <w:r w:rsidRPr="001D75BE">
              <w:t xml:space="preserve">It is published each night by </w:t>
            </w:r>
            <w:proofErr w:type="spellStart"/>
            <w:r w:rsidRPr="001D75BE">
              <w:t>Cboe</w:t>
            </w:r>
            <w:proofErr w:type="spellEnd"/>
            <w:r w:rsidRPr="001D75BE">
              <w:t xml:space="preserve"> Global Markets, Inc. (</w:t>
            </w:r>
            <w:proofErr w:type="spellStart"/>
            <w:r w:rsidRPr="001D75BE">
              <w:t>Cboe</w:t>
            </w:r>
            <w:proofErr w:type="spellEnd"/>
            <w:r w:rsidRPr="001D75BE">
              <w:t xml:space="preserve">) under the ticker ‘AMERIBOR’ and accessible here: </w:t>
            </w:r>
            <w:hyperlink r:id="rId12" w:history="1">
              <w:r w:rsidR="00F5180C" w:rsidRPr="003855C0">
                <w:rPr>
                  <w:rStyle w:val="Hyperlink"/>
                </w:rPr>
                <w:t>https://ameribor.net</w:t>
              </w:r>
            </w:hyperlink>
            <w:r>
              <w:t xml:space="preserve"> </w:t>
            </w:r>
          </w:p>
        </w:tc>
        <w:tc>
          <w:tcPr>
            <w:tcW w:w="2285" w:type="dxa"/>
          </w:tcPr>
          <w:p w14:paraId="7389FC06" w14:textId="7CF1DB04" w:rsidR="00F33A7A" w:rsidRPr="001D75BE" w:rsidRDefault="00F33A7A" w:rsidP="00F33A7A">
            <w:pPr>
              <w:jc w:val="left"/>
            </w:pPr>
            <w:r>
              <w:t>Published daily on the ICE website.</w:t>
            </w:r>
          </w:p>
        </w:tc>
      </w:tr>
      <w:tr w:rsidR="00F33A7A" w:rsidRPr="003B1581" w14:paraId="1BBF9987" w14:textId="1EC6D176" w:rsidTr="00F33A7A">
        <w:tc>
          <w:tcPr>
            <w:tcW w:w="1501" w:type="dxa"/>
          </w:tcPr>
          <w:p w14:paraId="221D8E20" w14:textId="77777777" w:rsidR="00F33A7A" w:rsidRPr="003B1581" w:rsidRDefault="00F33A7A" w:rsidP="00F33A7A">
            <w:pPr>
              <w:jc w:val="left"/>
            </w:pPr>
            <w:r w:rsidRPr="003B1581">
              <w:t>If a “floor” included</w:t>
            </w:r>
          </w:p>
        </w:tc>
        <w:tc>
          <w:tcPr>
            <w:tcW w:w="2284" w:type="dxa"/>
          </w:tcPr>
          <w:p w14:paraId="6ABBF4C6" w14:textId="0584CB29" w:rsidR="00F33A7A" w:rsidRDefault="00907FF2" w:rsidP="00F33A7A">
            <w:pPr>
              <w:jc w:val="left"/>
            </w:pPr>
            <w:r>
              <w:t>No</w:t>
            </w:r>
          </w:p>
        </w:tc>
        <w:tc>
          <w:tcPr>
            <w:tcW w:w="2285" w:type="dxa"/>
          </w:tcPr>
          <w:p w14:paraId="5307E95D" w14:textId="1CE54019" w:rsidR="00F33A7A" w:rsidRDefault="00CF23AD" w:rsidP="00F33A7A">
            <w:pPr>
              <w:jc w:val="left"/>
            </w:pPr>
            <w:r>
              <w:t>No buil</w:t>
            </w:r>
            <w:r w:rsidR="00611982">
              <w:t>t-</w:t>
            </w:r>
            <w:r>
              <w:t>in floor</w:t>
            </w:r>
            <w:r w:rsidR="00031A9F">
              <w:t>.  S</w:t>
            </w:r>
            <w:r>
              <w:t>pread adjustment</w:t>
            </w:r>
            <w:r w:rsidR="00031A9F">
              <w:t xml:space="preserve"> was set and is published in the ARRC literature</w:t>
            </w:r>
            <w:r w:rsidR="00FF45F4">
              <w:t>.</w:t>
            </w:r>
          </w:p>
        </w:tc>
        <w:tc>
          <w:tcPr>
            <w:tcW w:w="2285" w:type="dxa"/>
          </w:tcPr>
          <w:p w14:paraId="77239769" w14:textId="21D8CA50" w:rsidR="00F33A7A" w:rsidRDefault="00E867C8" w:rsidP="00F33A7A">
            <w:pPr>
              <w:jc w:val="left"/>
            </w:pPr>
            <w:r>
              <w:t>No buil</w:t>
            </w:r>
            <w:r w:rsidR="00611982">
              <w:t>t-</w:t>
            </w:r>
            <w:r>
              <w:t>in floor or spread adjustment</w:t>
            </w:r>
            <w:r w:rsidR="00FF45F4">
              <w:t>.</w:t>
            </w:r>
          </w:p>
        </w:tc>
        <w:tc>
          <w:tcPr>
            <w:tcW w:w="2285" w:type="dxa"/>
          </w:tcPr>
          <w:p w14:paraId="62E2395D" w14:textId="675D08B3" w:rsidR="00F33A7A" w:rsidRPr="003B1581" w:rsidRDefault="00F33A7A" w:rsidP="00F33A7A">
            <w:pPr>
              <w:jc w:val="left"/>
            </w:pPr>
            <w:r>
              <w:t>N/A</w:t>
            </w:r>
          </w:p>
        </w:tc>
        <w:tc>
          <w:tcPr>
            <w:tcW w:w="2285" w:type="dxa"/>
          </w:tcPr>
          <w:p w14:paraId="568D652C" w14:textId="14D620A1" w:rsidR="00F33A7A" w:rsidRDefault="00F33A7A" w:rsidP="00F33A7A">
            <w:pPr>
              <w:jc w:val="left"/>
            </w:pPr>
            <w:r w:rsidRPr="001D75BE">
              <w:t>There does not appear to be a floor. Ameribor futures can reflect zero or negative rates</w:t>
            </w:r>
            <w:r w:rsidR="00FF45F4">
              <w:t>.</w:t>
            </w:r>
          </w:p>
        </w:tc>
        <w:tc>
          <w:tcPr>
            <w:tcW w:w="2285" w:type="dxa"/>
          </w:tcPr>
          <w:p w14:paraId="1A360559" w14:textId="400EDE04" w:rsidR="00F33A7A" w:rsidRPr="001D75BE" w:rsidRDefault="00F33A7A" w:rsidP="00F33A7A">
            <w:pPr>
              <w:jc w:val="left"/>
            </w:pPr>
            <w:r>
              <w:t>There does not appear to be a floor.</w:t>
            </w:r>
          </w:p>
        </w:tc>
      </w:tr>
      <w:tr w:rsidR="00F33A7A" w:rsidRPr="003B1581" w14:paraId="432B14CB" w14:textId="5D160699" w:rsidTr="00F33A7A">
        <w:tc>
          <w:tcPr>
            <w:tcW w:w="1501" w:type="dxa"/>
          </w:tcPr>
          <w:p w14:paraId="3DC9973F" w14:textId="77777777" w:rsidR="00F33A7A" w:rsidRPr="003B1581" w:rsidRDefault="00F33A7A" w:rsidP="00F33A7A">
            <w:pPr>
              <w:jc w:val="left"/>
            </w:pPr>
            <w:r w:rsidRPr="003B1581">
              <w:t>Is it IOSCO compliant (see below)</w:t>
            </w:r>
          </w:p>
        </w:tc>
        <w:tc>
          <w:tcPr>
            <w:tcW w:w="2284" w:type="dxa"/>
          </w:tcPr>
          <w:p w14:paraId="6758ED7E" w14:textId="2B1D605B" w:rsidR="00F33A7A" w:rsidRDefault="003C517D" w:rsidP="00F33A7A">
            <w:pPr>
              <w:jc w:val="left"/>
            </w:pPr>
            <w:hyperlink r:id="rId13" w:history="1">
              <w:r w:rsidR="00611982" w:rsidRPr="00BA53B8">
                <w:rPr>
                  <w:rStyle w:val="Hyperlink"/>
                  <w:rFonts w:eastAsia="Times New Roman"/>
                </w:rPr>
                <w:t>Yes</w:t>
              </w:r>
            </w:hyperlink>
            <w:r w:rsidR="00611982">
              <w:rPr>
                <w:rFonts w:eastAsia="Times New Roman"/>
              </w:rPr>
              <w:t xml:space="preserve"> – assessed by IOSCO itself</w:t>
            </w:r>
          </w:p>
        </w:tc>
        <w:tc>
          <w:tcPr>
            <w:tcW w:w="2285" w:type="dxa"/>
          </w:tcPr>
          <w:p w14:paraId="1BA77D66" w14:textId="33B907DF" w:rsidR="001F7357" w:rsidRDefault="00020EB9" w:rsidP="00F33A7A">
            <w:pPr>
              <w:jc w:val="left"/>
            </w:pPr>
            <w:r>
              <w:t xml:space="preserve">No </w:t>
            </w:r>
            <w:r w:rsidR="001F7357">
              <w:t>–</w:t>
            </w:r>
            <w:r>
              <w:t xml:space="preserve"> </w:t>
            </w:r>
            <w:r w:rsidR="001F7357">
              <w:t xml:space="preserve">Principle 2 (Oversight of Third Parties) is not applicable because third parties are not involved in the collection of inputs to the Benchmarks, as the Federal Reserve Bank of New York sources all data </w:t>
            </w:r>
            <w:r w:rsidR="001F7357">
              <w:lastRenderedPageBreak/>
              <w:t>directly from either the counterparties to the trades underlying the Benchmarks or the intermediaries on whose systems those trades are cleared and settled. SOFR is compliant with the other principles.</w:t>
            </w:r>
          </w:p>
          <w:p w14:paraId="3C66E51D" w14:textId="77777777" w:rsidR="001F7357" w:rsidRDefault="001F7357" w:rsidP="00F33A7A">
            <w:pPr>
              <w:jc w:val="left"/>
            </w:pPr>
          </w:p>
          <w:p w14:paraId="50C4F5B2" w14:textId="038264EF" w:rsidR="00F33A7A" w:rsidRDefault="00DE643B" w:rsidP="00F33A7A">
            <w:pPr>
              <w:jc w:val="left"/>
            </w:pPr>
            <w:r w:rsidRPr="00DE643B">
              <w:t>As detailed in the</w:t>
            </w:r>
            <w:r w:rsidR="00611982">
              <w:t xml:space="preserve"> </w:t>
            </w:r>
            <w:r w:rsidRPr="00DE643B">
              <w:t>New York</w:t>
            </w:r>
            <w:r w:rsidR="00611982">
              <w:t xml:space="preserve"> F</w:t>
            </w:r>
            <w:r w:rsidRPr="00DE643B">
              <w:t>ed's </w:t>
            </w:r>
            <w:hyperlink r:id="rId14" w:history="1">
              <w:r w:rsidRPr="00DE643B">
                <w:t>Statement of Compliance</w:t>
              </w:r>
            </w:hyperlink>
            <w:r w:rsidRPr="00DE643B">
              <w:t>, the New York Fed has endeavored to adopt policies and procedures consistent with best practices for financial benchmarks. The New York</w:t>
            </w:r>
            <w:r w:rsidR="00611982">
              <w:t xml:space="preserve"> </w:t>
            </w:r>
            <w:r w:rsidRPr="00DE643B">
              <w:t>Fed's </w:t>
            </w:r>
            <w:hyperlink r:id="rId15" w:history="1">
              <w:r w:rsidRPr="00DE643B">
                <w:t>Audit</w:t>
              </w:r>
              <w:r w:rsidR="00611982">
                <w:t xml:space="preserve"> </w:t>
              </w:r>
              <w:r w:rsidRPr="00DE643B">
                <w:t>Group</w:t>
              </w:r>
            </w:hyperlink>
            <w:r w:rsidRPr="00DE643B">
              <w:t> has concluded that the internal control structure over the production of the EFFR, OBFR, TGCR, BGCR and SOFR is effective and that the production of these rates is compliant with the applicable</w:t>
            </w:r>
            <w:r w:rsidR="00611982">
              <w:t xml:space="preserve"> </w:t>
            </w:r>
            <w:r w:rsidRPr="00DE643B">
              <w:t>sections of the</w:t>
            </w:r>
            <w:r w:rsidR="00611982">
              <w:t xml:space="preserve"> </w:t>
            </w:r>
            <w:r w:rsidRPr="00DE643B">
              <w:t>IOSCO </w:t>
            </w:r>
            <w:hyperlink r:id="rId16" w:history="1">
              <w:r w:rsidRPr="00DE643B">
                <w:t>Principles for Financial</w:t>
              </w:r>
              <w:r w:rsidR="00611982">
                <w:t xml:space="preserve"> </w:t>
              </w:r>
              <w:r w:rsidRPr="00DE643B">
                <w:lastRenderedPageBreak/>
                <w:t>Benchmarks</w:t>
              </w:r>
            </w:hyperlink>
            <w:r w:rsidRPr="00DE643B">
              <w:t> (the Principles). The New York Fed will assess the compliance of the reference rates with the Principles on an annual basis and issue a Statement of Compliance</w:t>
            </w:r>
            <w:r w:rsidR="00611982">
              <w:t xml:space="preserve"> </w:t>
            </w:r>
            <w:r w:rsidRPr="00DE643B">
              <w:t>accordingly.</w:t>
            </w:r>
          </w:p>
        </w:tc>
        <w:tc>
          <w:tcPr>
            <w:tcW w:w="2285" w:type="dxa"/>
          </w:tcPr>
          <w:p w14:paraId="32A86576" w14:textId="2F592778" w:rsidR="00F33A7A" w:rsidRDefault="00E867C8" w:rsidP="00F33A7A">
            <w:pPr>
              <w:jc w:val="left"/>
            </w:pPr>
            <w:r>
              <w:lastRenderedPageBreak/>
              <w:t xml:space="preserve">Yes.  </w:t>
            </w:r>
            <w:r w:rsidR="00EE643D">
              <w:t>By independent assurance review announced 4/6/2021</w:t>
            </w:r>
            <w:r w:rsidR="00FF45F4">
              <w:t>.</w:t>
            </w:r>
          </w:p>
        </w:tc>
        <w:tc>
          <w:tcPr>
            <w:tcW w:w="2285" w:type="dxa"/>
          </w:tcPr>
          <w:p w14:paraId="79BC2D84" w14:textId="2B7495ED" w:rsidR="00F33A7A" w:rsidRPr="003B1581" w:rsidRDefault="00F33A7A" w:rsidP="00F33A7A">
            <w:pPr>
              <w:jc w:val="left"/>
            </w:pPr>
            <w:r>
              <w:t xml:space="preserve">Yes, all IHS benchmarks administered in line with IOSCO principles. However, have not specifically asked IOSCO. </w:t>
            </w:r>
          </w:p>
        </w:tc>
        <w:tc>
          <w:tcPr>
            <w:tcW w:w="2285" w:type="dxa"/>
          </w:tcPr>
          <w:p w14:paraId="07A9098D" w14:textId="32CA9508" w:rsidR="00F33A7A" w:rsidRDefault="00F33A7A" w:rsidP="00F33A7A">
            <w:pPr>
              <w:jc w:val="left"/>
            </w:pPr>
            <w:r>
              <w:rPr>
                <w:rFonts w:eastAsia="Times New Roman"/>
              </w:rPr>
              <w:t xml:space="preserve">Yes, </w:t>
            </w:r>
            <w:r w:rsidR="00730F89">
              <w:t xml:space="preserve">Ameribor announced that it is in alignment with IOSCO principles on 8/15/2019. </w:t>
            </w:r>
          </w:p>
        </w:tc>
        <w:tc>
          <w:tcPr>
            <w:tcW w:w="2285" w:type="dxa"/>
          </w:tcPr>
          <w:p w14:paraId="03CF94D4" w14:textId="52283EDF" w:rsidR="00F33A7A" w:rsidRDefault="00F33A7A" w:rsidP="00F33A7A">
            <w:pPr>
              <w:jc w:val="left"/>
              <w:rPr>
                <w:rFonts w:eastAsia="Times New Roman"/>
              </w:rPr>
            </w:pPr>
            <w:r>
              <w:rPr>
                <w:rFonts w:eastAsia="Times New Roman"/>
              </w:rPr>
              <w:t>As of the latest update in May 2020, ICE Benchmark Administration was still seeking external assurance regarding compliance with IOSCO.</w:t>
            </w:r>
          </w:p>
        </w:tc>
      </w:tr>
      <w:tr w:rsidR="00F33A7A" w:rsidRPr="003B1581" w14:paraId="0ACF48E1" w14:textId="1DA91082" w:rsidTr="00F33A7A">
        <w:tc>
          <w:tcPr>
            <w:tcW w:w="1501" w:type="dxa"/>
          </w:tcPr>
          <w:p w14:paraId="5BA79D10" w14:textId="77777777" w:rsidR="00F33A7A" w:rsidRPr="003B1581" w:rsidRDefault="00F33A7A" w:rsidP="00F33A7A">
            <w:pPr>
              <w:jc w:val="left"/>
            </w:pPr>
            <w:r w:rsidRPr="003B1581">
              <w:lastRenderedPageBreak/>
              <w:t>Are there calculation or use contingencies</w:t>
            </w:r>
          </w:p>
        </w:tc>
        <w:tc>
          <w:tcPr>
            <w:tcW w:w="2284" w:type="dxa"/>
          </w:tcPr>
          <w:p w14:paraId="0458061A" w14:textId="58CA2245" w:rsidR="00611982" w:rsidRDefault="00907FF2" w:rsidP="00611982">
            <w:r>
              <w:t>Yes</w:t>
            </w:r>
            <w:r w:rsidR="00611982">
              <w:t>.</w:t>
            </w:r>
            <w:r>
              <w:t xml:space="preserve"> </w:t>
            </w:r>
            <w:r w:rsidR="00611982">
              <w:t>There is no LIBOR publication on public holidays in London. In addition, there is no publication in the overnight tenor for a currency whose major financial center has a public holiday.</w:t>
            </w:r>
          </w:p>
          <w:p w14:paraId="3FEEBB15" w14:textId="77777777" w:rsidR="00611982" w:rsidRDefault="00611982" w:rsidP="00611982"/>
          <w:p w14:paraId="4E7CAB90" w14:textId="5D919CE3" w:rsidR="00F33A7A" w:rsidRDefault="00611982" w:rsidP="00611982">
            <w:pPr>
              <w:jc w:val="left"/>
            </w:pPr>
            <w:r>
              <w:t>If four or fewer bank submissions are received, IBA will publish the previous day’s LIBOR rate for the affected currencies</w:t>
            </w:r>
            <w:r w:rsidR="00907FF2">
              <w:t>.</w:t>
            </w:r>
          </w:p>
        </w:tc>
        <w:tc>
          <w:tcPr>
            <w:tcW w:w="2285" w:type="dxa"/>
          </w:tcPr>
          <w:p w14:paraId="43D87481" w14:textId="007E10D1" w:rsidR="00F33A7A" w:rsidRDefault="00DE643B" w:rsidP="00F33A7A">
            <w:pPr>
              <w:jc w:val="left"/>
            </w:pPr>
            <w:r>
              <w:t>Yes, for bank holidays that are otherwise business days</w:t>
            </w:r>
          </w:p>
          <w:p w14:paraId="7F57C3CA" w14:textId="64FF207B" w:rsidR="00020EB9" w:rsidRDefault="00020EB9" w:rsidP="00F33A7A">
            <w:pPr>
              <w:jc w:val="left"/>
            </w:pPr>
          </w:p>
          <w:p w14:paraId="5053F239" w14:textId="77777777" w:rsidR="00020EB9" w:rsidRDefault="00020EB9" w:rsidP="00020EB9">
            <w:pPr>
              <w:jc w:val="left"/>
            </w:pPr>
            <w:r>
              <w:t>In the event primary data is not available, the New York Fed uses information</w:t>
            </w:r>
          </w:p>
          <w:p w14:paraId="2A8DFD0E" w14:textId="5FF6E4C7" w:rsidR="00020EB9" w:rsidRDefault="00020EB9" w:rsidP="00020EB9">
            <w:pPr>
              <w:jc w:val="left"/>
            </w:pPr>
            <w:r>
              <w:t>collected through a daily survey conducted by its Trading Desk of primary dealers’ repo borrowing activity.</w:t>
            </w:r>
          </w:p>
          <w:p w14:paraId="76F619BC" w14:textId="16EF861C" w:rsidR="00031A9F" w:rsidRDefault="00031A9F" w:rsidP="00031A9F">
            <w:pPr>
              <w:jc w:val="left"/>
            </w:pPr>
          </w:p>
        </w:tc>
        <w:tc>
          <w:tcPr>
            <w:tcW w:w="2285" w:type="dxa"/>
          </w:tcPr>
          <w:p w14:paraId="7162C47C" w14:textId="5B88EF82" w:rsidR="00F33A7A" w:rsidRDefault="00EE643D" w:rsidP="00F33A7A">
            <w:pPr>
              <w:jc w:val="left"/>
            </w:pPr>
            <w:r>
              <w:t>Yes.  Curve fitting methodology and discount of  executable transactions (1/8) v executed transactions</w:t>
            </w:r>
            <w:r w:rsidR="00FF45F4">
              <w:t>.</w:t>
            </w:r>
            <w:r>
              <w:t xml:space="preserve"> </w:t>
            </w:r>
          </w:p>
        </w:tc>
        <w:tc>
          <w:tcPr>
            <w:tcW w:w="2285" w:type="dxa"/>
          </w:tcPr>
          <w:p w14:paraId="4F3BD55A" w14:textId="01493AD6" w:rsidR="00F33A7A" w:rsidRDefault="00F33A7A" w:rsidP="00F33A7A">
            <w:pPr>
              <w:jc w:val="left"/>
            </w:pPr>
            <w:r>
              <w:t>Calculation: bucket level outlier testing, weight per source and weight adjusted for issuer cap, then it takes a weighted average over the last five days</w:t>
            </w:r>
          </w:p>
          <w:p w14:paraId="28EE5D3D" w14:textId="77777777" w:rsidR="00F33A7A" w:rsidRDefault="00F33A7A" w:rsidP="00F33A7A">
            <w:pPr>
              <w:jc w:val="left"/>
            </w:pPr>
          </w:p>
          <w:p w14:paraId="484143B5" w14:textId="048F9CD0" w:rsidR="00F33A7A" w:rsidRPr="003B1581" w:rsidRDefault="00F33A7A" w:rsidP="00F33A7A">
            <w:pPr>
              <w:jc w:val="left"/>
            </w:pPr>
            <w:r>
              <w:t>Fallback: If certain thresholds not met, then use data from previous day’s transaction to fill shortfall</w:t>
            </w:r>
            <w:r w:rsidR="00FF45F4">
              <w:t>.</w:t>
            </w:r>
          </w:p>
        </w:tc>
        <w:tc>
          <w:tcPr>
            <w:tcW w:w="2285" w:type="dxa"/>
          </w:tcPr>
          <w:p w14:paraId="6D38E07E" w14:textId="1A27E9B0" w:rsidR="00F33A7A" w:rsidRDefault="00F33A7A" w:rsidP="00F33A7A">
            <w:pPr>
              <w:jc w:val="left"/>
            </w:pPr>
            <w:r>
              <w:t>a. When AFX is closed, such as on weekends or holidays, or disrupted, the previous day’s rate is used.</w:t>
            </w:r>
          </w:p>
          <w:p w14:paraId="0440A2F1" w14:textId="1DB7BDF5" w:rsidR="00F33A7A" w:rsidRDefault="00F33A7A" w:rsidP="00F33A7A">
            <w:pPr>
              <w:jc w:val="left"/>
            </w:pPr>
            <w:r>
              <w:t xml:space="preserve">b. Upon the occurrence of an unforeseen exogenous event (such as an event or circumstances which have a material impact on the credit markets), the Ameribor benchmark interest rate is determined based on the recent historical Ameribor benchmark interest rate spread in relation to the effective federal funds rate (EFFR). The recent historical Ameribor spread to </w:t>
            </w:r>
            <w:r>
              <w:lastRenderedPageBreak/>
              <w:t>EFFR will be determined as the average differential between the EFFR and the Ameribor benchmark interest rate during the prior 90 business day period. The recent historical Ameribor spread will then be added to the daily closing EFFR on the relevant day in order to determine the closing Ameribor benchmark interest rate for that day until such time as the AFX Committee on Benchmark Oversight determines that the unforeseen exogenous event has been terminated.</w:t>
            </w:r>
          </w:p>
        </w:tc>
        <w:tc>
          <w:tcPr>
            <w:tcW w:w="2285" w:type="dxa"/>
          </w:tcPr>
          <w:p w14:paraId="7F7927E8" w14:textId="54306AD2" w:rsidR="00F33A7A" w:rsidRDefault="00F33A7A" w:rsidP="00F33A7A">
            <w:pPr>
              <w:jc w:val="left"/>
            </w:pPr>
            <w:r>
              <w:lastRenderedPageBreak/>
              <w:t>All transactions are initially equally weighted, regardless of transaction size. A max weight threshold – 10% of the total weight of bond transactions and 15% of funding transactions is calculated. Transactions that exceed these thresholds are reduced proportionately in transaction weight.</w:t>
            </w:r>
          </w:p>
          <w:p w14:paraId="3370BA50" w14:textId="77777777" w:rsidR="00F33A7A" w:rsidRDefault="00F33A7A" w:rsidP="00F33A7A">
            <w:pPr>
              <w:jc w:val="left"/>
            </w:pPr>
          </w:p>
          <w:p w14:paraId="4047C912" w14:textId="674F96C2" w:rsidR="00F33A7A" w:rsidRDefault="00F33A7A" w:rsidP="00F33A7A">
            <w:pPr>
              <w:jc w:val="left"/>
            </w:pPr>
            <w:r>
              <w:t xml:space="preserve">An outlier filter identifies data points farther than the threshold (currently 200 basis points) from the fitted curve. These are removed from the set of </w:t>
            </w:r>
            <w:r>
              <w:lastRenderedPageBreak/>
              <w:t>transactions and the robust regression is recalculated.</w:t>
            </w:r>
          </w:p>
        </w:tc>
      </w:tr>
      <w:tr w:rsidR="00031A9F" w:rsidRPr="003B1581" w14:paraId="725D73FD" w14:textId="5E504C4B" w:rsidTr="00F33A7A">
        <w:tc>
          <w:tcPr>
            <w:tcW w:w="1501" w:type="dxa"/>
          </w:tcPr>
          <w:p w14:paraId="51C2D18C" w14:textId="77777777" w:rsidR="00031A9F" w:rsidRPr="003B1581" w:rsidRDefault="00031A9F" w:rsidP="00031A9F">
            <w:pPr>
              <w:jc w:val="left"/>
            </w:pPr>
            <w:r w:rsidRPr="003B1581">
              <w:lastRenderedPageBreak/>
              <w:t>Other?</w:t>
            </w:r>
          </w:p>
        </w:tc>
        <w:tc>
          <w:tcPr>
            <w:tcW w:w="2284" w:type="dxa"/>
          </w:tcPr>
          <w:p w14:paraId="291F7FCF" w14:textId="534D62CB" w:rsidR="00031A9F" w:rsidRDefault="00611982" w:rsidP="00031A9F">
            <w:pPr>
              <w:jc w:val="left"/>
            </w:pPr>
            <w:r>
              <w:t>1W and 2M tenors will be phased out by 2022, and the remaining tenors by June 30, 2023.</w:t>
            </w:r>
          </w:p>
        </w:tc>
        <w:tc>
          <w:tcPr>
            <w:tcW w:w="2285" w:type="dxa"/>
          </w:tcPr>
          <w:p w14:paraId="51AB3B35" w14:textId="4EDB3D9F" w:rsidR="00031A9F" w:rsidRDefault="00031A9F" w:rsidP="00031A9F">
            <w:pPr>
              <w:jc w:val="left"/>
            </w:pPr>
            <w:r w:rsidRPr="00DE643B">
              <w:t xml:space="preserve">In addition to the daily SOFR, the New York Fed also publishes three compounded averages of the SOFR with tenors of 30-, 90-, and 180-calendar days and a SOFR Index that allows for the calculation of </w:t>
            </w:r>
            <w:r w:rsidRPr="00DE643B">
              <w:lastRenderedPageBreak/>
              <w:t>compounded average rates over custom time periods. Note that, whereas the SOFR is published one business day following its value date (the day when overnight trades were negotiated), the SOFR averages and index are published on their value date. This approach aligns with the economics of the repo market, where the repo rate determines the cost of borrowing through the transaction’s maturity date. For the overnight repo transactions comprising the SOFR, the maturity date is always the next business day (when the SOFR is published), so the index and averages will always have a value date one business day later than the value date of the final SOFR observation included</w:t>
            </w:r>
            <w:r w:rsidR="00FF45F4">
              <w:t>.</w:t>
            </w:r>
          </w:p>
        </w:tc>
        <w:tc>
          <w:tcPr>
            <w:tcW w:w="2285" w:type="dxa"/>
          </w:tcPr>
          <w:p w14:paraId="3051DC03" w14:textId="77777777" w:rsidR="00031A9F" w:rsidRDefault="00031A9F" w:rsidP="00031A9F">
            <w:pPr>
              <w:jc w:val="left"/>
              <w:rPr>
                <w:rFonts w:ascii="Helvetica" w:hAnsi="Helvetica"/>
                <w:color w:val="373737"/>
                <w:shd w:val="clear" w:color="auto" w:fill="FFFFFF"/>
              </w:rPr>
            </w:pPr>
            <w:r>
              <w:lastRenderedPageBreak/>
              <w:t xml:space="preserve">Bloomberg says </w:t>
            </w:r>
            <w:r>
              <w:rPr>
                <w:rFonts w:ascii="Helvetica" w:hAnsi="Helvetica"/>
                <w:color w:val="373737"/>
                <w:shd w:val="clear" w:color="auto" w:fill="FFFFFF"/>
              </w:rPr>
              <w:t>BSBY will soon be available for licensing through its affiliate BISL in additional jurisdictions, including the U.K. and the EU.</w:t>
            </w:r>
          </w:p>
          <w:p w14:paraId="6A5B2703" w14:textId="77777777" w:rsidR="00031A9F" w:rsidRDefault="00031A9F" w:rsidP="00031A9F">
            <w:pPr>
              <w:jc w:val="left"/>
            </w:pPr>
          </w:p>
          <w:p w14:paraId="4B39C521" w14:textId="4BD7CBBC" w:rsidR="00031A9F" w:rsidRDefault="00031A9F" w:rsidP="00031A9F">
            <w:pPr>
              <w:jc w:val="left"/>
            </w:pPr>
            <w:r>
              <w:t xml:space="preserve">As of 5/19/21, BSBY is </w:t>
            </w:r>
            <w:proofErr w:type="spellStart"/>
            <w:r>
              <w:t>BofA’s</w:t>
            </w:r>
            <w:proofErr w:type="spellEnd"/>
            <w:r>
              <w:t xml:space="preserve"> preferred benchmark </w:t>
            </w:r>
            <w:r>
              <w:lastRenderedPageBreak/>
              <w:t>replacement for Corporate Loans</w:t>
            </w:r>
            <w:r w:rsidR="00FF45F4">
              <w:t>.</w:t>
            </w:r>
          </w:p>
        </w:tc>
        <w:tc>
          <w:tcPr>
            <w:tcW w:w="2285" w:type="dxa"/>
          </w:tcPr>
          <w:p w14:paraId="6E9907D4" w14:textId="224BA65B" w:rsidR="00031A9F" w:rsidRDefault="00031A9F" w:rsidP="00031A9F">
            <w:pPr>
              <w:jc w:val="left"/>
            </w:pPr>
            <w:r>
              <w:lastRenderedPageBreak/>
              <w:t>Notes that term SOFR likely not available within the next year. Will produce a credit spread adjustment and rate.</w:t>
            </w:r>
          </w:p>
          <w:p w14:paraId="31909C6D" w14:textId="13CDC363" w:rsidR="00031A9F" w:rsidRDefault="00031A9F" w:rsidP="00031A9F">
            <w:pPr>
              <w:jc w:val="left"/>
            </w:pPr>
          </w:p>
          <w:p w14:paraId="57CD72DF" w14:textId="30AFD65F" w:rsidR="00031A9F" w:rsidRDefault="00031A9F" w:rsidP="00031A9F">
            <w:pPr>
              <w:jc w:val="left"/>
            </w:pPr>
            <w:r>
              <w:t>Same-calendar as SOFR (i.e. the SIFMA calendar)</w:t>
            </w:r>
            <w:r w:rsidR="00FF45F4">
              <w:t>.</w:t>
            </w:r>
          </w:p>
          <w:p w14:paraId="39EDC9A4" w14:textId="6534539B" w:rsidR="00031A9F" w:rsidRPr="003B1581" w:rsidRDefault="00031A9F" w:rsidP="00031A9F">
            <w:pPr>
              <w:jc w:val="left"/>
            </w:pPr>
          </w:p>
        </w:tc>
        <w:tc>
          <w:tcPr>
            <w:tcW w:w="2285" w:type="dxa"/>
          </w:tcPr>
          <w:p w14:paraId="6E674B6C" w14:textId="20FD5C31" w:rsidR="00031A9F" w:rsidRDefault="00031A9F" w:rsidP="00031A9F">
            <w:pPr>
              <w:jc w:val="left"/>
            </w:pPr>
            <w:r>
              <w:lastRenderedPageBreak/>
              <w:t>a. More than 99% correlation with LIBOR</w:t>
            </w:r>
            <w:r w:rsidR="00FF45F4">
              <w:t>.</w:t>
            </w:r>
          </w:p>
          <w:p w14:paraId="4653EE5E" w14:textId="32C682AB" w:rsidR="00031A9F" w:rsidRDefault="00031A9F" w:rsidP="00031A9F">
            <w:pPr>
              <w:jc w:val="left"/>
            </w:pPr>
            <w:r>
              <w:t>b. Massively expanding use since introduction in 2015 (around $2 Billion average daily volume)</w:t>
            </w:r>
            <w:r w:rsidR="00FF45F4">
              <w:t>.</w:t>
            </w:r>
          </w:p>
        </w:tc>
        <w:tc>
          <w:tcPr>
            <w:tcW w:w="2285" w:type="dxa"/>
          </w:tcPr>
          <w:p w14:paraId="72C8E170" w14:textId="30B8D56F" w:rsidR="00031A9F" w:rsidRDefault="00031A9F" w:rsidP="00031A9F">
            <w:pPr>
              <w:jc w:val="left"/>
            </w:pPr>
            <w:r>
              <w:t>IBA plans to continue testing and observe outcomes against LIBOR, but no guarantee that IBA will continue with testing or publication of the Bank Yield Index.</w:t>
            </w:r>
          </w:p>
        </w:tc>
      </w:tr>
    </w:tbl>
    <w:p w14:paraId="0637A1D5" w14:textId="77777777" w:rsidR="003B1581" w:rsidRPr="003B1581" w:rsidRDefault="003B1581" w:rsidP="003B1581">
      <w:pPr>
        <w:pStyle w:val="BodyTextContinued"/>
        <w:spacing w:after="0"/>
        <w:rPr>
          <w:rFonts w:cs="Arial"/>
          <w:szCs w:val="21"/>
          <w:lang w:eastAsia="en-US"/>
        </w:rPr>
      </w:pPr>
    </w:p>
    <w:sectPr w:rsidR="003B1581" w:rsidRPr="003B1581" w:rsidSect="00D46942">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73AD2" w14:textId="77777777" w:rsidR="003C517D" w:rsidRDefault="003C517D" w:rsidP="00EA45CA">
      <w:pPr>
        <w:spacing w:line="240" w:lineRule="auto"/>
      </w:pPr>
      <w:r>
        <w:separator/>
      </w:r>
    </w:p>
  </w:endnote>
  <w:endnote w:type="continuationSeparator" w:id="0">
    <w:p w14:paraId="3C10431D" w14:textId="77777777" w:rsidR="003C517D" w:rsidRDefault="003C517D" w:rsidP="00EA4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E719" w14:textId="62F773CA" w:rsidR="00FB0AB2" w:rsidRDefault="00F81F21" w:rsidP="00FB0AB2">
    <w:pPr>
      <w:pStyle w:val="FooterInfo"/>
    </w:pPr>
    <w:r>
      <w:fldChar w:fldCharType="begin"/>
    </w:r>
    <w:r w:rsidRPr="00F81F21">
      <w:rPr>
        <w:sz w:val="12"/>
      </w:rPr>
      <w:instrText xml:space="preserve"> MACROBUTTON DocID \\DC - 999999/000018 - 16227389 v7 </w:instrText>
    </w:r>
    <w:r>
      <w:fldChar w:fldCharType="end"/>
    </w:r>
    <w:r w:rsidR="00FB0AB2" w:rsidRPr="00F81F2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234C" w14:textId="357526BC" w:rsidR="00AD7957" w:rsidRDefault="00AD7957" w:rsidP="00AD7957">
    <w:pPr>
      <w:pStyle w:val="Footer"/>
      <w:jc w:val="center"/>
      <w:rPr>
        <w:noProof/>
        <w:sz w:val="20"/>
        <w:szCs w:val="20"/>
      </w:rPr>
    </w:pPr>
    <w:r w:rsidRPr="00AD7957">
      <w:rPr>
        <w:sz w:val="20"/>
        <w:szCs w:val="20"/>
      </w:rPr>
      <w:fldChar w:fldCharType="begin"/>
    </w:r>
    <w:r w:rsidRPr="00AD7957">
      <w:rPr>
        <w:sz w:val="20"/>
        <w:szCs w:val="20"/>
      </w:rPr>
      <w:instrText xml:space="preserve"> PAGE   \* MERGEFORMAT </w:instrText>
    </w:r>
    <w:r w:rsidRPr="00AD7957">
      <w:rPr>
        <w:sz w:val="20"/>
        <w:szCs w:val="20"/>
      </w:rPr>
      <w:fldChar w:fldCharType="separate"/>
    </w:r>
    <w:r w:rsidRPr="00AD7957">
      <w:rPr>
        <w:noProof/>
        <w:sz w:val="20"/>
        <w:szCs w:val="20"/>
      </w:rPr>
      <w:t>1</w:t>
    </w:r>
    <w:r w:rsidRPr="00AD7957">
      <w:rPr>
        <w:noProof/>
        <w:sz w:val="20"/>
        <w:szCs w:val="20"/>
      </w:rPr>
      <w:fldChar w:fldCharType="end"/>
    </w:r>
  </w:p>
  <w:p w14:paraId="6A5BBE08" w14:textId="47816E70" w:rsidR="00FB0AB2" w:rsidRPr="00AD7957" w:rsidRDefault="00F81F21" w:rsidP="00FB0AB2">
    <w:pPr>
      <w:pStyle w:val="FooterInfo"/>
    </w:pPr>
    <w:r>
      <w:fldChar w:fldCharType="begin"/>
    </w:r>
    <w:r w:rsidRPr="00F81F21">
      <w:rPr>
        <w:sz w:val="12"/>
      </w:rPr>
      <w:instrText xml:space="preserve"> MACROBUTTON DocID \\DC - 999999/000018 - 16227389 v7 </w:instrText>
    </w:r>
    <w:r>
      <w:fldChar w:fldCharType="end"/>
    </w:r>
    <w:r w:rsidR="00FB0AB2" w:rsidRPr="00F81F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3A88" w14:textId="3F204336" w:rsidR="00FB0AB2" w:rsidRDefault="00F81F21" w:rsidP="00FB0AB2">
    <w:pPr>
      <w:pStyle w:val="FooterInfo"/>
    </w:pPr>
    <w:r>
      <w:fldChar w:fldCharType="begin"/>
    </w:r>
    <w:r w:rsidRPr="00F81F21">
      <w:rPr>
        <w:sz w:val="12"/>
      </w:rPr>
      <w:instrText xml:space="preserve"> MACROBUTTON DocID \\DC - 999999/000018 - 16227389 v7 </w:instrText>
    </w:r>
    <w:r>
      <w:fldChar w:fldCharType="end"/>
    </w:r>
    <w:r w:rsidR="00FB0AB2" w:rsidRPr="00F81F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B448A" w14:textId="77777777" w:rsidR="003C517D" w:rsidRDefault="003C517D" w:rsidP="00EA45CA">
      <w:pPr>
        <w:spacing w:line="240" w:lineRule="auto"/>
      </w:pPr>
      <w:r>
        <w:separator/>
      </w:r>
    </w:p>
  </w:footnote>
  <w:footnote w:type="continuationSeparator" w:id="0">
    <w:p w14:paraId="56154340" w14:textId="77777777" w:rsidR="003C517D" w:rsidRDefault="003C517D" w:rsidP="00EA45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F345" w14:textId="77777777" w:rsidR="007E32C7" w:rsidRDefault="007E3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5FE7" w14:textId="77777777" w:rsidR="007E32C7" w:rsidRDefault="007E3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31986" w14:textId="77777777" w:rsidR="007E32C7" w:rsidRDefault="007E3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569A"/>
    <w:multiLevelType w:val="hybridMultilevel"/>
    <w:tmpl w:val="3C8E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FB3250"/>
    <w:multiLevelType w:val="hybridMultilevel"/>
    <w:tmpl w:val="C3AACCEA"/>
    <w:lvl w:ilvl="0" w:tplc="AC5CF57E">
      <w:start w:val="1"/>
      <w:numFmt w:val="bullet"/>
      <w:lvlText w:val="–"/>
      <w:lvlJc w:val="left"/>
      <w:pPr>
        <w:tabs>
          <w:tab w:val="num" w:pos="720"/>
        </w:tabs>
        <w:ind w:left="720" w:hanging="360"/>
      </w:pPr>
      <w:rPr>
        <w:rFonts w:ascii="Georgia" w:hAnsi="Georgia" w:hint="default"/>
      </w:rPr>
    </w:lvl>
    <w:lvl w:ilvl="1" w:tplc="9A4A7F40">
      <w:start w:val="1"/>
      <w:numFmt w:val="bullet"/>
      <w:lvlText w:val="–"/>
      <w:lvlJc w:val="left"/>
      <w:pPr>
        <w:tabs>
          <w:tab w:val="num" w:pos="1440"/>
        </w:tabs>
        <w:ind w:left="1440" w:hanging="360"/>
      </w:pPr>
      <w:rPr>
        <w:rFonts w:ascii="Georgia" w:hAnsi="Georgia" w:hint="default"/>
      </w:rPr>
    </w:lvl>
    <w:lvl w:ilvl="2" w:tplc="1AEE81EE" w:tentative="1">
      <w:start w:val="1"/>
      <w:numFmt w:val="bullet"/>
      <w:lvlText w:val="–"/>
      <w:lvlJc w:val="left"/>
      <w:pPr>
        <w:tabs>
          <w:tab w:val="num" w:pos="2160"/>
        </w:tabs>
        <w:ind w:left="2160" w:hanging="360"/>
      </w:pPr>
      <w:rPr>
        <w:rFonts w:ascii="Georgia" w:hAnsi="Georgia" w:hint="default"/>
      </w:rPr>
    </w:lvl>
    <w:lvl w:ilvl="3" w:tplc="3076A6F0" w:tentative="1">
      <w:start w:val="1"/>
      <w:numFmt w:val="bullet"/>
      <w:lvlText w:val="–"/>
      <w:lvlJc w:val="left"/>
      <w:pPr>
        <w:tabs>
          <w:tab w:val="num" w:pos="2880"/>
        </w:tabs>
        <w:ind w:left="2880" w:hanging="360"/>
      </w:pPr>
      <w:rPr>
        <w:rFonts w:ascii="Georgia" w:hAnsi="Georgia" w:hint="default"/>
      </w:rPr>
    </w:lvl>
    <w:lvl w:ilvl="4" w:tplc="C2B078AA" w:tentative="1">
      <w:start w:val="1"/>
      <w:numFmt w:val="bullet"/>
      <w:lvlText w:val="–"/>
      <w:lvlJc w:val="left"/>
      <w:pPr>
        <w:tabs>
          <w:tab w:val="num" w:pos="3600"/>
        </w:tabs>
        <w:ind w:left="3600" w:hanging="360"/>
      </w:pPr>
      <w:rPr>
        <w:rFonts w:ascii="Georgia" w:hAnsi="Georgia" w:hint="default"/>
      </w:rPr>
    </w:lvl>
    <w:lvl w:ilvl="5" w:tplc="6F380FD4" w:tentative="1">
      <w:start w:val="1"/>
      <w:numFmt w:val="bullet"/>
      <w:lvlText w:val="–"/>
      <w:lvlJc w:val="left"/>
      <w:pPr>
        <w:tabs>
          <w:tab w:val="num" w:pos="4320"/>
        </w:tabs>
        <w:ind w:left="4320" w:hanging="360"/>
      </w:pPr>
      <w:rPr>
        <w:rFonts w:ascii="Georgia" w:hAnsi="Georgia" w:hint="default"/>
      </w:rPr>
    </w:lvl>
    <w:lvl w:ilvl="6" w:tplc="799E384C" w:tentative="1">
      <w:start w:val="1"/>
      <w:numFmt w:val="bullet"/>
      <w:lvlText w:val="–"/>
      <w:lvlJc w:val="left"/>
      <w:pPr>
        <w:tabs>
          <w:tab w:val="num" w:pos="5040"/>
        </w:tabs>
        <w:ind w:left="5040" w:hanging="360"/>
      </w:pPr>
      <w:rPr>
        <w:rFonts w:ascii="Georgia" w:hAnsi="Georgia" w:hint="default"/>
      </w:rPr>
    </w:lvl>
    <w:lvl w:ilvl="7" w:tplc="11C29AF6" w:tentative="1">
      <w:start w:val="1"/>
      <w:numFmt w:val="bullet"/>
      <w:lvlText w:val="–"/>
      <w:lvlJc w:val="left"/>
      <w:pPr>
        <w:tabs>
          <w:tab w:val="num" w:pos="5760"/>
        </w:tabs>
        <w:ind w:left="5760" w:hanging="360"/>
      </w:pPr>
      <w:rPr>
        <w:rFonts w:ascii="Georgia" w:hAnsi="Georgia" w:hint="default"/>
      </w:rPr>
    </w:lvl>
    <w:lvl w:ilvl="8" w:tplc="5AEEF67E"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78FD4BA3"/>
    <w:multiLevelType w:val="hybridMultilevel"/>
    <w:tmpl w:val="8BE09762"/>
    <w:lvl w:ilvl="0" w:tplc="2558EF0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HasDocNum" w:val="True"/>
  </w:docVars>
  <w:rsids>
    <w:rsidRoot w:val="003B1581"/>
    <w:rsid w:val="000001C3"/>
    <w:rsid w:val="00007D44"/>
    <w:rsid w:val="000110D8"/>
    <w:rsid w:val="00020EB9"/>
    <w:rsid w:val="00027141"/>
    <w:rsid w:val="000278FC"/>
    <w:rsid w:val="00031A9F"/>
    <w:rsid w:val="00035FAC"/>
    <w:rsid w:val="0005089B"/>
    <w:rsid w:val="000664EC"/>
    <w:rsid w:val="000703B6"/>
    <w:rsid w:val="00070C4E"/>
    <w:rsid w:val="00083B08"/>
    <w:rsid w:val="0009067A"/>
    <w:rsid w:val="00094FDC"/>
    <w:rsid w:val="000A3787"/>
    <w:rsid w:val="000A4171"/>
    <w:rsid w:val="000A49E0"/>
    <w:rsid w:val="000B1AFB"/>
    <w:rsid w:val="000C291F"/>
    <w:rsid w:val="000C4DB7"/>
    <w:rsid w:val="000D1C39"/>
    <w:rsid w:val="000D2557"/>
    <w:rsid w:val="000D489C"/>
    <w:rsid w:val="000D4D40"/>
    <w:rsid w:val="000D59FF"/>
    <w:rsid w:val="000D7D56"/>
    <w:rsid w:val="000F1EA9"/>
    <w:rsid w:val="00103C9C"/>
    <w:rsid w:val="00113D21"/>
    <w:rsid w:val="001201E5"/>
    <w:rsid w:val="001221E4"/>
    <w:rsid w:val="001238B9"/>
    <w:rsid w:val="00146CDB"/>
    <w:rsid w:val="00167AC9"/>
    <w:rsid w:val="0017454C"/>
    <w:rsid w:val="0018041A"/>
    <w:rsid w:val="00183440"/>
    <w:rsid w:val="001862E9"/>
    <w:rsid w:val="0019443D"/>
    <w:rsid w:val="00194CE4"/>
    <w:rsid w:val="00196387"/>
    <w:rsid w:val="001A5F8D"/>
    <w:rsid w:val="001B6E1D"/>
    <w:rsid w:val="001D75BE"/>
    <w:rsid w:val="001E6D91"/>
    <w:rsid w:val="001F5919"/>
    <w:rsid w:val="001F7357"/>
    <w:rsid w:val="00204FEE"/>
    <w:rsid w:val="00222292"/>
    <w:rsid w:val="0022631D"/>
    <w:rsid w:val="0024315B"/>
    <w:rsid w:val="00261C41"/>
    <w:rsid w:val="002639D1"/>
    <w:rsid w:val="002740E8"/>
    <w:rsid w:val="00274F06"/>
    <w:rsid w:val="002760D5"/>
    <w:rsid w:val="002A005C"/>
    <w:rsid w:val="002A38A0"/>
    <w:rsid w:val="002A405C"/>
    <w:rsid w:val="002A67FC"/>
    <w:rsid w:val="002B315B"/>
    <w:rsid w:val="002B6E5B"/>
    <w:rsid w:val="002C05C4"/>
    <w:rsid w:val="002C09E6"/>
    <w:rsid w:val="002C1898"/>
    <w:rsid w:val="002C760F"/>
    <w:rsid w:val="002E2631"/>
    <w:rsid w:val="002F3D62"/>
    <w:rsid w:val="002F63C1"/>
    <w:rsid w:val="002F6DB0"/>
    <w:rsid w:val="002F7F4A"/>
    <w:rsid w:val="00300BED"/>
    <w:rsid w:val="00325B50"/>
    <w:rsid w:val="00331B26"/>
    <w:rsid w:val="00342BF6"/>
    <w:rsid w:val="003549DA"/>
    <w:rsid w:val="00355B20"/>
    <w:rsid w:val="0035713B"/>
    <w:rsid w:val="00360900"/>
    <w:rsid w:val="00361DE4"/>
    <w:rsid w:val="00390C68"/>
    <w:rsid w:val="003916CF"/>
    <w:rsid w:val="00392F16"/>
    <w:rsid w:val="003B1581"/>
    <w:rsid w:val="003B1778"/>
    <w:rsid w:val="003B6065"/>
    <w:rsid w:val="003B79AC"/>
    <w:rsid w:val="003C517D"/>
    <w:rsid w:val="003D1B5B"/>
    <w:rsid w:val="003D3A68"/>
    <w:rsid w:val="003D6546"/>
    <w:rsid w:val="003E6B8F"/>
    <w:rsid w:val="003F3AC9"/>
    <w:rsid w:val="00426938"/>
    <w:rsid w:val="0044126C"/>
    <w:rsid w:val="00444266"/>
    <w:rsid w:val="00475995"/>
    <w:rsid w:val="004806EA"/>
    <w:rsid w:val="004924F2"/>
    <w:rsid w:val="00492B17"/>
    <w:rsid w:val="00495C2E"/>
    <w:rsid w:val="004A3FB1"/>
    <w:rsid w:val="004B4B6A"/>
    <w:rsid w:val="004C2F52"/>
    <w:rsid w:val="004D41F7"/>
    <w:rsid w:val="004D481C"/>
    <w:rsid w:val="004D73C0"/>
    <w:rsid w:val="004E23A0"/>
    <w:rsid w:val="004E5751"/>
    <w:rsid w:val="0051165D"/>
    <w:rsid w:val="0051358A"/>
    <w:rsid w:val="005137DB"/>
    <w:rsid w:val="00526560"/>
    <w:rsid w:val="005320FD"/>
    <w:rsid w:val="00536697"/>
    <w:rsid w:val="005369A9"/>
    <w:rsid w:val="005459EC"/>
    <w:rsid w:val="0055246D"/>
    <w:rsid w:val="005531B8"/>
    <w:rsid w:val="00553D05"/>
    <w:rsid w:val="00562CE2"/>
    <w:rsid w:val="00574D5A"/>
    <w:rsid w:val="00585D4E"/>
    <w:rsid w:val="005909FB"/>
    <w:rsid w:val="005958E4"/>
    <w:rsid w:val="005B68E5"/>
    <w:rsid w:val="005C4397"/>
    <w:rsid w:val="005C5974"/>
    <w:rsid w:val="005D1BA6"/>
    <w:rsid w:val="005E0E66"/>
    <w:rsid w:val="00607424"/>
    <w:rsid w:val="00611928"/>
    <w:rsid w:val="00611982"/>
    <w:rsid w:val="00614164"/>
    <w:rsid w:val="00617846"/>
    <w:rsid w:val="00623B0D"/>
    <w:rsid w:val="00635E5C"/>
    <w:rsid w:val="00640811"/>
    <w:rsid w:val="006516AB"/>
    <w:rsid w:val="006612B9"/>
    <w:rsid w:val="00663B1A"/>
    <w:rsid w:val="00682F70"/>
    <w:rsid w:val="00686675"/>
    <w:rsid w:val="006877ED"/>
    <w:rsid w:val="006968AD"/>
    <w:rsid w:val="006A2D94"/>
    <w:rsid w:val="006D7BB0"/>
    <w:rsid w:val="00702986"/>
    <w:rsid w:val="00702A8F"/>
    <w:rsid w:val="0070403C"/>
    <w:rsid w:val="00730F89"/>
    <w:rsid w:val="00740890"/>
    <w:rsid w:val="00747870"/>
    <w:rsid w:val="007766A3"/>
    <w:rsid w:val="007900A6"/>
    <w:rsid w:val="0079612B"/>
    <w:rsid w:val="007A453F"/>
    <w:rsid w:val="007A7C57"/>
    <w:rsid w:val="007B4689"/>
    <w:rsid w:val="007B7D3E"/>
    <w:rsid w:val="007D3C9E"/>
    <w:rsid w:val="007D6BC7"/>
    <w:rsid w:val="007E32C7"/>
    <w:rsid w:val="007F42B7"/>
    <w:rsid w:val="00801CDE"/>
    <w:rsid w:val="00807BC2"/>
    <w:rsid w:val="00814969"/>
    <w:rsid w:val="008154C2"/>
    <w:rsid w:val="00820FD7"/>
    <w:rsid w:val="008252AD"/>
    <w:rsid w:val="00833C81"/>
    <w:rsid w:val="0083429E"/>
    <w:rsid w:val="00860ACE"/>
    <w:rsid w:val="00874610"/>
    <w:rsid w:val="00877304"/>
    <w:rsid w:val="0089760E"/>
    <w:rsid w:val="008A0054"/>
    <w:rsid w:val="008B0A52"/>
    <w:rsid w:val="008B3014"/>
    <w:rsid w:val="008C0C2A"/>
    <w:rsid w:val="008C64D9"/>
    <w:rsid w:val="008D19E3"/>
    <w:rsid w:val="008D63E9"/>
    <w:rsid w:val="008E1682"/>
    <w:rsid w:val="008E2F0B"/>
    <w:rsid w:val="008E3158"/>
    <w:rsid w:val="008F55E0"/>
    <w:rsid w:val="008F7C80"/>
    <w:rsid w:val="00907FF2"/>
    <w:rsid w:val="00916CF8"/>
    <w:rsid w:val="009213F7"/>
    <w:rsid w:val="00923A58"/>
    <w:rsid w:val="00930D6C"/>
    <w:rsid w:val="00940B74"/>
    <w:rsid w:val="00942EC9"/>
    <w:rsid w:val="0095130D"/>
    <w:rsid w:val="00953027"/>
    <w:rsid w:val="00961B80"/>
    <w:rsid w:val="0096472C"/>
    <w:rsid w:val="0097142B"/>
    <w:rsid w:val="00973D56"/>
    <w:rsid w:val="00981E13"/>
    <w:rsid w:val="0098349B"/>
    <w:rsid w:val="00990FF4"/>
    <w:rsid w:val="0099708E"/>
    <w:rsid w:val="009A07CD"/>
    <w:rsid w:val="009A0EBF"/>
    <w:rsid w:val="009A60EF"/>
    <w:rsid w:val="009B7C4E"/>
    <w:rsid w:val="009C7FDD"/>
    <w:rsid w:val="00A06B3E"/>
    <w:rsid w:val="00A138CC"/>
    <w:rsid w:val="00A2463B"/>
    <w:rsid w:val="00A32A07"/>
    <w:rsid w:val="00A33958"/>
    <w:rsid w:val="00A375F2"/>
    <w:rsid w:val="00A402F6"/>
    <w:rsid w:val="00A423CE"/>
    <w:rsid w:val="00A470B8"/>
    <w:rsid w:val="00A540FC"/>
    <w:rsid w:val="00A56764"/>
    <w:rsid w:val="00A87A13"/>
    <w:rsid w:val="00A90000"/>
    <w:rsid w:val="00A9777D"/>
    <w:rsid w:val="00AD052E"/>
    <w:rsid w:val="00AD3665"/>
    <w:rsid w:val="00AD40EC"/>
    <w:rsid w:val="00AD788C"/>
    <w:rsid w:val="00AD7957"/>
    <w:rsid w:val="00AF09EA"/>
    <w:rsid w:val="00B00AC5"/>
    <w:rsid w:val="00B1323B"/>
    <w:rsid w:val="00B23D6B"/>
    <w:rsid w:val="00B35C35"/>
    <w:rsid w:val="00B43C11"/>
    <w:rsid w:val="00B454A6"/>
    <w:rsid w:val="00B52D66"/>
    <w:rsid w:val="00B7090E"/>
    <w:rsid w:val="00B7292F"/>
    <w:rsid w:val="00B7317C"/>
    <w:rsid w:val="00B822FD"/>
    <w:rsid w:val="00B87F3C"/>
    <w:rsid w:val="00BE5168"/>
    <w:rsid w:val="00BF0B76"/>
    <w:rsid w:val="00C05021"/>
    <w:rsid w:val="00C127F5"/>
    <w:rsid w:val="00C14F52"/>
    <w:rsid w:val="00C17AE4"/>
    <w:rsid w:val="00C20002"/>
    <w:rsid w:val="00C23670"/>
    <w:rsid w:val="00C34972"/>
    <w:rsid w:val="00C3646B"/>
    <w:rsid w:val="00C36685"/>
    <w:rsid w:val="00C400B7"/>
    <w:rsid w:val="00C673CB"/>
    <w:rsid w:val="00C702E8"/>
    <w:rsid w:val="00C85FF8"/>
    <w:rsid w:val="00CA35B7"/>
    <w:rsid w:val="00CB3401"/>
    <w:rsid w:val="00CC2C44"/>
    <w:rsid w:val="00CC35DB"/>
    <w:rsid w:val="00CD5579"/>
    <w:rsid w:val="00CD6C6F"/>
    <w:rsid w:val="00CF23AD"/>
    <w:rsid w:val="00D00A2E"/>
    <w:rsid w:val="00D00C22"/>
    <w:rsid w:val="00D02C00"/>
    <w:rsid w:val="00D068B9"/>
    <w:rsid w:val="00D10149"/>
    <w:rsid w:val="00D108F6"/>
    <w:rsid w:val="00D209A0"/>
    <w:rsid w:val="00D22A19"/>
    <w:rsid w:val="00D25F62"/>
    <w:rsid w:val="00D324E8"/>
    <w:rsid w:val="00D359AF"/>
    <w:rsid w:val="00D46942"/>
    <w:rsid w:val="00D532D3"/>
    <w:rsid w:val="00D54C09"/>
    <w:rsid w:val="00D8079E"/>
    <w:rsid w:val="00D95164"/>
    <w:rsid w:val="00D951DA"/>
    <w:rsid w:val="00D965DE"/>
    <w:rsid w:val="00DA10EF"/>
    <w:rsid w:val="00DB021B"/>
    <w:rsid w:val="00DC7F13"/>
    <w:rsid w:val="00DD3995"/>
    <w:rsid w:val="00DE1A50"/>
    <w:rsid w:val="00DE6221"/>
    <w:rsid w:val="00DE643B"/>
    <w:rsid w:val="00DE7601"/>
    <w:rsid w:val="00DF4355"/>
    <w:rsid w:val="00DF49B1"/>
    <w:rsid w:val="00E03A70"/>
    <w:rsid w:val="00E06217"/>
    <w:rsid w:val="00E16D2C"/>
    <w:rsid w:val="00E4401B"/>
    <w:rsid w:val="00E52782"/>
    <w:rsid w:val="00E65BF8"/>
    <w:rsid w:val="00E7064D"/>
    <w:rsid w:val="00E74ADF"/>
    <w:rsid w:val="00E867C8"/>
    <w:rsid w:val="00EA343C"/>
    <w:rsid w:val="00EA45CA"/>
    <w:rsid w:val="00EA594A"/>
    <w:rsid w:val="00EB5D41"/>
    <w:rsid w:val="00EB7A98"/>
    <w:rsid w:val="00ED3676"/>
    <w:rsid w:val="00ED4A6A"/>
    <w:rsid w:val="00ED78AD"/>
    <w:rsid w:val="00EE26FE"/>
    <w:rsid w:val="00EE643D"/>
    <w:rsid w:val="00F01959"/>
    <w:rsid w:val="00F33A7A"/>
    <w:rsid w:val="00F37B55"/>
    <w:rsid w:val="00F423F6"/>
    <w:rsid w:val="00F44160"/>
    <w:rsid w:val="00F5180C"/>
    <w:rsid w:val="00F540A4"/>
    <w:rsid w:val="00F649FD"/>
    <w:rsid w:val="00F652DC"/>
    <w:rsid w:val="00F65797"/>
    <w:rsid w:val="00F662B3"/>
    <w:rsid w:val="00F709B3"/>
    <w:rsid w:val="00F804F0"/>
    <w:rsid w:val="00F81F21"/>
    <w:rsid w:val="00F84C93"/>
    <w:rsid w:val="00F86D6B"/>
    <w:rsid w:val="00FA0F65"/>
    <w:rsid w:val="00FA448D"/>
    <w:rsid w:val="00FB0AB2"/>
    <w:rsid w:val="00FC1D77"/>
    <w:rsid w:val="00FC2FDC"/>
    <w:rsid w:val="00FC4354"/>
    <w:rsid w:val="00FD3A3B"/>
    <w:rsid w:val="00FE1220"/>
    <w:rsid w:val="00FE41A1"/>
    <w:rsid w:val="00FE540A"/>
    <w:rsid w:val="00FF45F4"/>
    <w:rsid w:val="00FF5879"/>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FD21B"/>
  <w15:docId w15:val="{A3187513-A15F-4C08-A396-985EB968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0" w:defUnhideWhenUsed="0" w:defQFormat="0" w:count="376">
    <w:lsdException w:name="Normal" w:uiPriority="9"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7" w:unhideWhenUsed="1" w:qFormat="1"/>
    <w:lsdException w:name="Body Text First Indent 2" w:semiHidden="1" w:uiPriority="8" w:unhideWhenUsed="1"/>
    <w:lsdException w:name="Note Heading" w:semiHidden="1" w:unhideWhenUsed="1"/>
    <w:lsdException w:name="Body Text 2" w:semiHidden="1" w:unhideWhenUsed="1"/>
    <w:lsdException w:name="Body Text 3" w:semiHidden="1" w:unhideWhenUsed="1"/>
    <w:lsdException w:name="Body Text Indent 2" w:semiHidden="1" w:uiPriority="20" w:unhideWhenUsed="1" w:qFormat="1"/>
    <w:lsdException w:name="Body Text Indent 3" w:semiHidden="1" w:uiPriority="2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5C5974"/>
    <w:rPr>
      <w:rFonts w:eastAsia="SimSun" w:cs="Arial"/>
      <w:szCs w:val="21"/>
    </w:rPr>
  </w:style>
  <w:style w:type="paragraph" w:styleId="Heading1">
    <w:name w:val="heading 1"/>
    <w:basedOn w:val="Normal"/>
    <w:link w:val="Heading1Char"/>
    <w:uiPriority w:val="3"/>
    <w:qFormat/>
    <w:rsid w:val="005C5974"/>
    <w:pPr>
      <w:keepNext/>
      <w:spacing w:after="210"/>
      <w:outlineLvl w:val="0"/>
    </w:pPr>
    <w:rPr>
      <w:b/>
      <w:bCs/>
      <w:caps/>
      <w:szCs w:val="32"/>
    </w:rPr>
  </w:style>
  <w:style w:type="paragraph" w:styleId="Heading2">
    <w:name w:val="heading 2"/>
    <w:basedOn w:val="Normal"/>
    <w:link w:val="Heading2Char"/>
    <w:uiPriority w:val="4"/>
    <w:qFormat/>
    <w:rsid w:val="005C5974"/>
    <w:pPr>
      <w:keepNext/>
      <w:spacing w:after="210"/>
      <w:ind w:left="720"/>
      <w:outlineLvl w:val="1"/>
    </w:pPr>
    <w:rPr>
      <w:b/>
      <w:bCs/>
      <w:iCs/>
      <w:szCs w:val="28"/>
    </w:rPr>
  </w:style>
  <w:style w:type="paragraph" w:styleId="Heading3">
    <w:name w:val="heading 3"/>
    <w:basedOn w:val="Normal"/>
    <w:link w:val="Heading3Char"/>
    <w:uiPriority w:val="5"/>
    <w:qFormat/>
    <w:rsid w:val="005C5974"/>
    <w:pPr>
      <w:spacing w:after="210"/>
      <w:ind w:left="1440"/>
      <w:outlineLvl w:val="2"/>
    </w:pPr>
    <w:rPr>
      <w:b/>
      <w:bCs/>
      <w:szCs w:val="26"/>
    </w:rPr>
  </w:style>
  <w:style w:type="paragraph" w:styleId="Heading4">
    <w:name w:val="heading 4"/>
    <w:basedOn w:val="Normal"/>
    <w:next w:val="Normal"/>
    <w:link w:val="Heading4Char"/>
    <w:uiPriority w:val="10"/>
    <w:qFormat/>
    <w:rsid w:val="005C5974"/>
    <w:pPr>
      <w:spacing w:after="210"/>
      <w:ind w:left="2160"/>
      <w:outlineLvl w:val="3"/>
    </w:pPr>
    <w:rPr>
      <w:b/>
      <w:bCs/>
      <w:szCs w:val="28"/>
    </w:rPr>
  </w:style>
  <w:style w:type="paragraph" w:styleId="Heading5">
    <w:name w:val="heading 5"/>
    <w:basedOn w:val="Normal"/>
    <w:next w:val="Normal"/>
    <w:link w:val="Heading5Char"/>
    <w:uiPriority w:val="11"/>
    <w:qFormat/>
    <w:rsid w:val="005C5974"/>
    <w:pPr>
      <w:spacing w:after="210"/>
      <w:ind w:left="2880"/>
      <w:outlineLvl w:val="4"/>
    </w:pPr>
    <w:rPr>
      <w:b/>
      <w:bCs/>
      <w:iCs/>
      <w:szCs w:val="26"/>
    </w:rPr>
  </w:style>
  <w:style w:type="paragraph" w:styleId="Heading6">
    <w:name w:val="heading 6"/>
    <w:basedOn w:val="Normal"/>
    <w:next w:val="Normal"/>
    <w:link w:val="Heading6Char"/>
    <w:uiPriority w:val="12"/>
    <w:qFormat/>
    <w:rsid w:val="005C5974"/>
    <w:pPr>
      <w:spacing w:after="210"/>
      <w:ind w:left="3600"/>
      <w:outlineLvl w:val="5"/>
    </w:pPr>
    <w:rPr>
      <w:b/>
      <w:bCs/>
      <w:szCs w:val="22"/>
    </w:rPr>
  </w:style>
  <w:style w:type="paragraph" w:styleId="Heading7">
    <w:name w:val="heading 7"/>
    <w:basedOn w:val="Normal"/>
    <w:next w:val="Normal"/>
    <w:link w:val="Heading7Char"/>
    <w:uiPriority w:val="13"/>
    <w:qFormat/>
    <w:rsid w:val="005C5974"/>
    <w:pPr>
      <w:spacing w:after="210"/>
      <w:ind w:left="4320"/>
      <w:outlineLvl w:val="6"/>
    </w:pPr>
    <w:rPr>
      <w:b/>
      <w:szCs w:val="24"/>
    </w:rPr>
  </w:style>
  <w:style w:type="paragraph" w:styleId="Heading8">
    <w:name w:val="heading 8"/>
    <w:basedOn w:val="Normal"/>
    <w:next w:val="Normal"/>
    <w:link w:val="Heading8Char"/>
    <w:uiPriority w:val="14"/>
    <w:qFormat/>
    <w:rsid w:val="005C5974"/>
    <w:pPr>
      <w:spacing w:after="210"/>
      <w:ind w:left="5040"/>
      <w:outlineLvl w:val="7"/>
    </w:pPr>
    <w:rPr>
      <w:b/>
      <w:iCs/>
      <w:szCs w:val="24"/>
    </w:rPr>
  </w:style>
  <w:style w:type="paragraph" w:styleId="Heading9">
    <w:name w:val="heading 9"/>
    <w:basedOn w:val="Normal"/>
    <w:next w:val="Normal"/>
    <w:link w:val="Heading9Char"/>
    <w:uiPriority w:val="15"/>
    <w:qFormat/>
    <w:rsid w:val="005C5974"/>
    <w:pPr>
      <w:spacing w:after="240"/>
      <w:ind w:left="57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5C5974"/>
    <w:rPr>
      <w:rFonts w:eastAsia="SimSun" w:cs="Arial"/>
      <w:b/>
      <w:bCs/>
      <w:caps/>
      <w:szCs w:val="32"/>
    </w:rPr>
  </w:style>
  <w:style w:type="character" w:customStyle="1" w:styleId="Heading2Char">
    <w:name w:val="Heading 2 Char"/>
    <w:basedOn w:val="DefaultParagraphFont"/>
    <w:link w:val="Heading2"/>
    <w:uiPriority w:val="4"/>
    <w:rsid w:val="005C5974"/>
    <w:rPr>
      <w:rFonts w:eastAsia="SimSun" w:cs="Arial"/>
      <w:b/>
      <w:bCs/>
      <w:iCs/>
      <w:szCs w:val="28"/>
    </w:rPr>
  </w:style>
  <w:style w:type="character" w:customStyle="1" w:styleId="Heading3Char">
    <w:name w:val="Heading 3 Char"/>
    <w:basedOn w:val="DefaultParagraphFont"/>
    <w:link w:val="Heading3"/>
    <w:uiPriority w:val="5"/>
    <w:rsid w:val="005C5974"/>
    <w:rPr>
      <w:rFonts w:eastAsia="SimSun" w:cs="Arial"/>
      <w:b/>
      <w:bCs/>
      <w:szCs w:val="26"/>
    </w:rPr>
  </w:style>
  <w:style w:type="character" w:customStyle="1" w:styleId="Heading4Char">
    <w:name w:val="Heading 4 Char"/>
    <w:basedOn w:val="DefaultParagraphFont"/>
    <w:link w:val="Heading4"/>
    <w:uiPriority w:val="10"/>
    <w:rsid w:val="005C5974"/>
    <w:rPr>
      <w:rFonts w:eastAsia="SimSun" w:cs="Arial"/>
      <w:b/>
      <w:bCs/>
      <w:szCs w:val="28"/>
    </w:rPr>
  </w:style>
  <w:style w:type="character" w:customStyle="1" w:styleId="Heading5Char">
    <w:name w:val="Heading 5 Char"/>
    <w:basedOn w:val="DefaultParagraphFont"/>
    <w:link w:val="Heading5"/>
    <w:uiPriority w:val="11"/>
    <w:rsid w:val="005C5974"/>
    <w:rPr>
      <w:rFonts w:eastAsia="SimSun" w:cs="Arial"/>
      <w:b/>
      <w:bCs/>
      <w:iCs/>
      <w:szCs w:val="26"/>
    </w:rPr>
  </w:style>
  <w:style w:type="character" w:customStyle="1" w:styleId="Heading6Char">
    <w:name w:val="Heading 6 Char"/>
    <w:basedOn w:val="DefaultParagraphFont"/>
    <w:link w:val="Heading6"/>
    <w:uiPriority w:val="12"/>
    <w:rsid w:val="005C5974"/>
    <w:rPr>
      <w:rFonts w:eastAsia="SimSun" w:cs="Arial"/>
      <w:b/>
      <w:bCs/>
      <w:szCs w:val="22"/>
    </w:rPr>
  </w:style>
  <w:style w:type="character" w:customStyle="1" w:styleId="Heading7Char">
    <w:name w:val="Heading 7 Char"/>
    <w:basedOn w:val="DefaultParagraphFont"/>
    <w:link w:val="Heading7"/>
    <w:uiPriority w:val="13"/>
    <w:rsid w:val="005C5974"/>
    <w:rPr>
      <w:rFonts w:eastAsia="SimSun" w:cs="Arial"/>
      <w:b/>
      <w:szCs w:val="24"/>
    </w:rPr>
  </w:style>
  <w:style w:type="character" w:customStyle="1" w:styleId="Heading8Char">
    <w:name w:val="Heading 8 Char"/>
    <w:basedOn w:val="DefaultParagraphFont"/>
    <w:link w:val="Heading8"/>
    <w:uiPriority w:val="14"/>
    <w:rsid w:val="005C5974"/>
    <w:rPr>
      <w:rFonts w:eastAsia="SimSun" w:cs="Arial"/>
      <w:b/>
      <w:iCs/>
      <w:szCs w:val="24"/>
    </w:rPr>
  </w:style>
  <w:style w:type="character" w:customStyle="1" w:styleId="Heading9Char">
    <w:name w:val="Heading 9 Char"/>
    <w:basedOn w:val="DefaultParagraphFont"/>
    <w:link w:val="Heading9"/>
    <w:uiPriority w:val="15"/>
    <w:rsid w:val="005C5974"/>
    <w:rPr>
      <w:rFonts w:eastAsia="SimSun" w:cs="Arial"/>
      <w:b/>
      <w:szCs w:val="22"/>
    </w:rPr>
  </w:style>
  <w:style w:type="paragraph" w:styleId="BodyText">
    <w:name w:val="Body Text"/>
    <w:basedOn w:val="Normal"/>
    <w:link w:val="BodyTextChar"/>
    <w:uiPriority w:val="1"/>
    <w:qFormat/>
    <w:rsid w:val="005C5974"/>
    <w:pPr>
      <w:spacing w:after="210"/>
    </w:pPr>
  </w:style>
  <w:style w:type="character" w:customStyle="1" w:styleId="BodyTextChar">
    <w:name w:val="Body Text Char"/>
    <w:basedOn w:val="DefaultParagraphFont"/>
    <w:link w:val="BodyText"/>
    <w:uiPriority w:val="1"/>
    <w:rsid w:val="005C5974"/>
    <w:rPr>
      <w:rFonts w:eastAsia="SimSun" w:cs="Arial"/>
      <w:szCs w:val="21"/>
    </w:rPr>
  </w:style>
  <w:style w:type="paragraph" w:customStyle="1" w:styleId="BodyTextContinued">
    <w:name w:val="Body Text Continued"/>
    <w:basedOn w:val="Normal"/>
    <w:next w:val="Normal"/>
    <w:uiPriority w:val="18"/>
    <w:rsid w:val="005C5974"/>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5C5974"/>
    <w:pPr>
      <w:spacing w:after="210"/>
      <w:ind w:firstLine="720"/>
    </w:pPr>
  </w:style>
  <w:style w:type="character" w:customStyle="1" w:styleId="BodyTextFirstIndentChar">
    <w:name w:val="Body Text First Indent Char"/>
    <w:basedOn w:val="DefaultParagraphFont"/>
    <w:link w:val="BodyTextFirstIndent"/>
    <w:uiPriority w:val="7"/>
    <w:rsid w:val="005C5974"/>
    <w:rPr>
      <w:rFonts w:eastAsia="SimSun" w:cs="Arial"/>
      <w:szCs w:val="21"/>
    </w:rPr>
  </w:style>
  <w:style w:type="paragraph" w:styleId="BodyTextIndent">
    <w:name w:val="Body Text Indent"/>
    <w:basedOn w:val="Normal"/>
    <w:link w:val="BodyTextIndentChar"/>
    <w:uiPriority w:val="19"/>
    <w:qFormat/>
    <w:rsid w:val="005C5974"/>
    <w:pPr>
      <w:spacing w:after="210"/>
      <w:ind w:left="720"/>
    </w:pPr>
  </w:style>
  <w:style w:type="character" w:customStyle="1" w:styleId="BodyTextIndentChar">
    <w:name w:val="Body Text Indent Char"/>
    <w:basedOn w:val="DefaultParagraphFont"/>
    <w:link w:val="BodyTextIndent"/>
    <w:uiPriority w:val="19"/>
    <w:rsid w:val="005C5974"/>
    <w:rPr>
      <w:rFonts w:eastAsia="SimSun" w:cs="Arial"/>
      <w:szCs w:val="21"/>
    </w:rPr>
  </w:style>
  <w:style w:type="paragraph" w:styleId="BodyTextFirstIndent2">
    <w:name w:val="Body Text First Indent 2"/>
    <w:basedOn w:val="BodyTextIndent"/>
    <w:link w:val="BodyTextFirstIndent2Char"/>
    <w:uiPriority w:val="8"/>
    <w:rsid w:val="005C5974"/>
    <w:pPr>
      <w:ind w:left="0" w:firstLine="1440"/>
    </w:pPr>
  </w:style>
  <w:style w:type="character" w:customStyle="1" w:styleId="BodyTextFirstIndent2Char">
    <w:name w:val="Body Text First Indent 2 Char"/>
    <w:basedOn w:val="BodyTextIndentChar"/>
    <w:link w:val="BodyTextFirstIndent2"/>
    <w:uiPriority w:val="8"/>
    <w:rsid w:val="005C5974"/>
    <w:rPr>
      <w:rFonts w:eastAsia="SimSun" w:cs="Arial"/>
      <w:szCs w:val="21"/>
    </w:rPr>
  </w:style>
  <w:style w:type="paragraph" w:customStyle="1" w:styleId="BodyTextDoubleSpaced">
    <w:name w:val="Body Text Double Spaced"/>
    <w:basedOn w:val="Normal"/>
    <w:uiPriority w:val="2"/>
    <w:qFormat/>
    <w:rsid w:val="005C5974"/>
    <w:pPr>
      <w:spacing w:line="480" w:lineRule="auto"/>
    </w:pPr>
  </w:style>
  <w:style w:type="paragraph" w:styleId="BodyTextIndent2">
    <w:name w:val="Body Text Indent 2"/>
    <w:basedOn w:val="Normal"/>
    <w:link w:val="BodyTextIndent2Char"/>
    <w:uiPriority w:val="20"/>
    <w:qFormat/>
    <w:rsid w:val="005C5974"/>
    <w:pPr>
      <w:spacing w:after="210"/>
      <w:ind w:left="1440"/>
    </w:pPr>
  </w:style>
  <w:style w:type="character" w:customStyle="1" w:styleId="BodyTextIndent2Char">
    <w:name w:val="Body Text Indent 2 Char"/>
    <w:basedOn w:val="DefaultParagraphFont"/>
    <w:link w:val="BodyTextIndent2"/>
    <w:uiPriority w:val="20"/>
    <w:rsid w:val="005C5974"/>
    <w:rPr>
      <w:rFonts w:eastAsia="SimSun" w:cs="Arial"/>
      <w:szCs w:val="21"/>
    </w:rPr>
  </w:style>
  <w:style w:type="paragraph" w:styleId="BodyTextIndent3">
    <w:name w:val="Body Text Indent 3"/>
    <w:basedOn w:val="Normal"/>
    <w:link w:val="BodyTextIndent3Char"/>
    <w:uiPriority w:val="21"/>
    <w:qFormat/>
    <w:rsid w:val="005C5974"/>
    <w:pPr>
      <w:spacing w:after="210"/>
      <w:ind w:left="2160"/>
    </w:pPr>
    <w:rPr>
      <w:szCs w:val="16"/>
    </w:rPr>
  </w:style>
  <w:style w:type="character" w:customStyle="1" w:styleId="BodyTextIndent3Char">
    <w:name w:val="Body Text Indent 3 Char"/>
    <w:basedOn w:val="DefaultParagraphFont"/>
    <w:link w:val="BodyTextIndent3"/>
    <w:uiPriority w:val="21"/>
    <w:rsid w:val="005C5974"/>
    <w:rPr>
      <w:rFonts w:eastAsia="SimSun" w:cs="Arial"/>
      <w:szCs w:val="16"/>
    </w:rPr>
  </w:style>
  <w:style w:type="paragraph" w:customStyle="1" w:styleId="BlockIndent">
    <w:name w:val="Block Indent"/>
    <w:basedOn w:val="Normal"/>
    <w:uiPriority w:val="6"/>
    <w:qFormat/>
    <w:rsid w:val="005C5974"/>
    <w:pPr>
      <w:spacing w:after="210"/>
      <w:ind w:left="1440" w:right="1440"/>
    </w:pPr>
  </w:style>
  <w:style w:type="paragraph" w:styleId="Footer">
    <w:name w:val="footer"/>
    <w:basedOn w:val="Normal"/>
    <w:link w:val="FooterChar"/>
    <w:uiPriority w:val="99"/>
    <w:rsid w:val="005C5974"/>
    <w:pPr>
      <w:tabs>
        <w:tab w:val="center" w:pos="4680"/>
        <w:tab w:val="right" w:pos="9360"/>
      </w:tabs>
    </w:pPr>
    <w:rPr>
      <w:sz w:val="17"/>
    </w:rPr>
  </w:style>
  <w:style w:type="character" w:customStyle="1" w:styleId="FooterChar">
    <w:name w:val="Footer Char"/>
    <w:basedOn w:val="DefaultParagraphFont"/>
    <w:link w:val="Footer"/>
    <w:uiPriority w:val="99"/>
    <w:rsid w:val="005C5974"/>
    <w:rPr>
      <w:rFonts w:eastAsia="SimSun" w:cs="Arial"/>
      <w:sz w:val="17"/>
      <w:szCs w:val="21"/>
    </w:rPr>
  </w:style>
  <w:style w:type="paragraph" w:styleId="Header">
    <w:name w:val="header"/>
    <w:basedOn w:val="Normal"/>
    <w:link w:val="HeaderChar"/>
    <w:uiPriority w:val="99"/>
    <w:rsid w:val="005C5974"/>
    <w:pPr>
      <w:tabs>
        <w:tab w:val="center" w:pos="4680"/>
        <w:tab w:val="right" w:pos="9360"/>
      </w:tabs>
    </w:pPr>
    <w:rPr>
      <w:sz w:val="17"/>
    </w:rPr>
  </w:style>
  <w:style w:type="character" w:customStyle="1" w:styleId="HeaderChar">
    <w:name w:val="Header Char"/>
    <w:basedOn w:val="DefaultParagraphFont"/>
    <w:link w:val="Header"/>
    <w:uiPriority w:val="99"/>
    <w:rsid w:val="005C5974"/>
    <w:rPr>
      <w:rFonts w:eastAsia="SimSun" w:cs="Arial"/>
      <w:sz w:val="17"/>
      <w:szCs w:val="21"/>
    </w:rPr>
  </w:style>
  <w:style w:type="paragraph" w:styleId="EnvelopeAddress">
    <w:name w:val="envelope address"/>
    <w:basedOn w:val="Normal"/>
    <w:uiPriority w:val="99"/>
    <w:rsid w:val="005C5974"/>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5C5974"/>
    <w:pPr>
      <w:spacing w:line="240" w:lineRule="auto"/>
      <w:jc w:val="left"/>
    </w:pPr>
    <w:rPr>
      <w:sz w:val="20"/>
      <w:szCs w:val="20"/>
    </w:rPr>
  </w:style>
  <w:style w:type="character" w:styleId="FootnoteReference">
    <w:name w:val="footnote reference"/>
    <w:basedOn w:val="DefaultParagraphFont"/>
    <w:uiPriority w:val="99"/>
    <w:semiHidden/>
    <w:unhideWhenUsed/>
    <w:rsid w:val="005C5974"/>
    <w:rPr>
      <w:vertAlign w:val="superscript"/>
    </w:rPr>
  </w:style>
  <w:style w:type="paragraph" w:customStyle="1" w:styleId="Orator">
    <w:name w:val="Orator"/>
    <w:basedOn w:val="Normal"/>
    <w:uiPriority w:val="16"/>
    <w:qFormat/>
    <w:rsid w:val="005C5974"/>
    <w:pPr>
      <w:spacing w:line="480" w:lineRule="atLeast"/>
    </w:pPr>
  </w:style>
  <w:style w:type="paragraph" w:customStyle="1" w:styleId="SigBlock">
    <w:name w:val="SigBlock"/>
    <w:basedOn w:val="Normal"/>
    <w:next w:val="Normal"/>
    <w:uiPriority w:val="17"/>
    <w:qFormat/>
    <w:rsid w:val="005C5974"/>
    <w:pPr>
      <w:jc w:val="left"/>
    </w:pPr>
  </w:style>
  <w:style w:type="paragraph" w:styleId="TOC1">
    <w:name w:val="toc 1"/>
    <w:basedOn w:val="Normal"/>
    <w:next w:val="Normal"/>
    <w:autoRedefine/>
    <w:uiPriority w:val="39"/>
    <w:unhideWhenUsed/>
    <w:rsid w:val="005C5974"/>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5C5974"/>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5C5974"/>
    <w:pPr>
      <w:ind w:left="2160" w:hanging="720"/>
    </w:pPr>
    <w:rPr>
      <w:rFonts w:eastAsiaTheme="minorHAnsi" w:cs="Times New Roman"/>
    </w:rPr>
  </w:style>
  <w:style w:type="paragraph" w:styleId="TOC4">
    <w:name w:val="toc 4"/>
    <w:basedOn w:val="Normal"/>
    <w:next w:val="Normal"/>
    <w:autoRedefine/>
    <w:uiPriority w:val="39"/>
    <w:unhideWhenUsed/>
    <w:rsid w:val="005C5974"/>
    <w:pPr>
      <w:ind w:left="2894" w:hanging="720"/>
    </w:pPr>
    <w:rPr>
      <w:rFonts w:eastAsiaTheme="minorHAnsi" w:cs="Times New Roman"/>
    </w:rPr>
  </w:style>
  <w:style w:type="paragraph" w:styleId="TOC5">
    <w:name w:val="toc 5"/>
    <w:basedOn w:val="Normal"/>
    <w:next w:val="Normal"/>
    <w:autoRedefine/>
    <w:uiPriority w:val="39"/>
    <w:unhideWhenUsed/>
    <w:rsid w:val="005C5974"/>
    <w:pPr>
      <w:ind w:left="3600" w:hanging="720"/>
    </w:pPr>
    <w:rPr>
      <w:rFonts w:eastAsiaTheme="minorHAnsi" w:cs="Times New Roman"/>
    </w:rPr>
  </w:style>
  <w:style w:type="paragraph" w:styleId="TOC6">
    <w:name w:val="toc 6"/>
    <w:basedOn w:val="Normal"/>
    <w:next w:val="Normal"/>
    <w:autoRedefine/>
    <w:uiPriority w:val="39"/>
    <w:unhideWhenUsed/>
    <w:rsid w:val="005C5974"/>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5C5974"/>
    <w:pPr>
      <w:ind w:left="5040" w:hanging="720"/>
    </w:pPr>
    <w:rPr>
      <w:rFonts w:eastAsiaTheme="minorHAnsi" w:cs="Times New Roman"/>
    </w:rPr>
  </w:style>
  <w:style w:type="paragraph" w:styleId="TOC8">
    <w:name w:val="toc 8"/>
    <w:basedOn w:val="Normal"/>
    <w:next w:val="Normal"/>
    <w:autoRedefine/>
    <w:uiPriority w:val="39"/>
    <w:unhideWhenUsed/>
    <w:rsid w:val="005C5974"/>
    <w:pPr>
      <w:ind w:left="5760" w:hanging="720"/>
    </w:pPr>
    <w:rPr>
      <w:rFonts w:eastAsiaTheme="minorHAnsi" w:cs="Times New Roman"/>
    </w:rPr>
  </w:style>
  <w:style w:type="paragraph" w:styleId="TOC9">
    <w:name w:val="toc 9"/>
    <w:basedOn w:val="Normal"/>
    <w:next w:val="Normal"/>
    <w:autoRedefine/>
    <w:uiPriority w:val="39"/>
    <w:unhideWhenUsed/>
    <w:rsid w:val="005C5974"/>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5C5974"/>
    <w:pPr>
      <w:keepLines/>
      <w:spacing w:before="-1" w:beforeAutospacing="1" w:after="-1" w:afterAutospacing="1"/>
    </w:pPr>
    <w:rPr>
      <w:rFonts w:eastAsiaTheme="majorEastAsia" w:cstheme="majorBidi"/>
      <w:caps/>
      <w:szCs w:val="28"/>
    </w:rPr>
  </w:style>
  <w:style w:type="table" w:styleId="TableGrid">
    <w:name w:val="Table Grid"/>
    <w:basedOn w:val="TableNormal"/>
    <w:uiPriority w:val="59"/>
    <w:rsid w:val="003B15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5BE"/>
    <w:rPr>
      <w:color w:val="C50084" w:themeColor="hyperlink"/>
      <w:u w:val="single"/>
    </w:rPr>
  </w:style>
  <w:style w:type="character" w:styleId="UnresolvedMention">
    <w:name w:val="Unresolved Mention"/>
    <w:basedOn w:val="DefaultParagraphFont"/>
    <w:uiPriority w:val="99"/>
    <w:semiHidden/>
    <w:unhideWhenUsed/>
    <w:rsid w:val="001D75BE"/>
    <w:rPr>
      <w:color w:val="605E5C"/>
      <w:shd w:val="clear" w:color="auto" w:fill="E1DFDD"/>
    </w:rPr>
  </w:style>
  <w:style w:type="paragraph" w:styleId="ListParagraph">
    <w:name w:val="List Paragraph"/>
    <w:basedOn w:val="Normal"/>
    <w:uiPriority w:val="34"/>
    <w:qFormat/>
    <w:rsid w:val="008E1682"/>
    <w:pPr>
      <w:ind w:left="720"/>
      <w:contextualSpacing/>
    </w:pPr>
  </w:style>
  <w:style w:type="paragraph" w:customStyle="1" w:styleId="FooterInfo">
    <w:name w:val="FooterInfo"/>
    <w:basedOn w:val="Normal"/>
    <w:next w:val="Footer"/>
    <w:link w:val="FooterInfoChar"/>
    <w:rsid w:val="00FB0AB2"/>
    <w:pPr>
      <w:tabs>
        <w:tab w:val="center" w:pos="6480"/>
        <w:tab w:val="right" w:pos="12960"/>
      </w:tabs>
    </w:pPr>
  </w:style>
  <w:style w:type="character" w:customStyle="1" w:styleId="FooterInfoChar">
    <w:name w:val="FooterInfo Char"/>
    <w:basedOn w:val="DefaultParagraphFont"/>
    <w:link w:val="FooterInfo"/>
    <w:rsid w:val="00FB0AB2"/>
    <w:rPr>
      <w:rFonts w:eastAsia="SimSun" w:cs="Arial"/>
      <w:szCs w:val="21"/>
    </w:rPr>
  </w:style>
  <w:style w:type="paragraph" w:styleId="BalloonText">
    <w:name w:val="Balloon Text"/>
    <w:basedOn w:val="Normal"/>
    <w:link w:val="BalloonTextChar"/>
    <w:uiPriority w:val="99"/>
    <w:semiHidden/>
    <w:unhideWhenUsed/>
    <w:rsid w:val="002B31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5B"/>
    <w:rPr>
      <w:rFonts w:ascii="Segoe UI" w:eastAsia="SimSun" w:hAnsi="Segoe UI" w:cs="Segoe UI"/>
      <w:sz w:val="18"/>
      <w:szCs w:val="18"/>
    </w:rPr>
  </w:style>
  <w:style w:type="character" w:styleId="FollowedHyperlink">
    <w:name w:val="FollowedHyperlink"/>
    <w:basedOn w:val="DefaultParagraphFont"/>
    <w:uiPriority w:val="99"/>
    <w:semiHidden/>
    <w:unhideWhenUsed/>
    <w:rsid w:val="007E32C7"/>
    <w:rPr>
      <w:color w:val="FFA1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946714">
      <w:bodyDiv w:val="1"/>
      <w:marLeft w:val="0"/>
      <w:marRight w:val="0"/>
      <w:marTop w:val="0"/>
      <w:marBottom w:val="0"/>
      <w:divBdr>
        <w:top w:val="none" w:sz="0" w:space="0" w:color="auto"/>
        <w:left w:val="none" w:sz="0" w:space="0" w:color="auto"/>
        <w:bottom w:val="none" w:sz="0" w:space="0" w:color="auto"/>
        <w:right w:val="none" w:sz="0" w:space="0" w:color="auto"/>
      </w:divBdr>
      <w:divsChild>
        <w:div w:id="279338004">
          <w:marLeft w:val="850"/>
          <w:marRight w:val="0"/>
          <w:marTop w:val="0"/>
          <w:marBottom w:val="180"/>
          <w:divBdr>
            <w:top w:val="none" w:sz="0" w:space="0" w:color="auto"/>
            <w:left w:val="none" w:sz="0" w:space="0" w:color="auto"/>
            <w:bottom w:val="none" w:sz="0" w:space="0" w:color="auto"/>
            <w:right w:val="none" w:sz="0" w:space="0" w:color="auto"/>
          </w:divBdr>
        </w:div>
      </w:divsChild>
    </w:div>
    <w:div w:id="704477462">
      <w:bodyDiv w:val="1"/>
      <w:marLeft w:val="0"/>
      <w:marRight w:val="0"/>
      <w:marTop w:val="0"/>
      <w:marBottom w:val="0"/>
      <w:divBdr>
        <w:top w:val="none" w:sz="0" w:space="0" w:color="auto"/>
        <w:left w:val="none" w:sz="0" w:space="0" w:color="auto"/>
        <w:bottom w:val="none" w:sz="0" w:space="0" w:color="auto"/>
        <w:right w:val="none" w:sz="0" w:space="0" w:color="auto"/>
      </w:divBdr>
    </w:div>
    <w:div w:id="1317342559">
      <w:bodyDiv w:val="1"/>
      <w:marLeft w:val="0"/>
      <w:marRight w:val="0"/>
      <w:marTop w:val="0"/>
      <w:marBottom w:val="0"/>
      <w:divBdr>
        <w:top w:val="none" w:sz="0" w:space="0" w:color="auto"/>
        <w:left w:val="none" w:sz="0" w:space="0" w:color="auto"/>
        <w:bottom w:val="none" w:sz="0" w:space="0" w:color="auto"/>
        <w:right w:val="none" w:sz="0" w:space="0" w:color="auto"/>
      </w:divBdr>
    </w:div>
    <w:div w:id="1629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ce.com/publicdocs/LIBOR_IOSCO_Self_Assessment_August_2017.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ameribor.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osco.org/library/pubdocs/pdf/IOSCOPD41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oomberg.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ewyorkfed.org/aboutthefed/org_audit" TargetMode="External"/><Relationship Id="rId23" Type="http://schemas.openxmlformats.org/officeDocument/2006/relationships/fontTable" Target="fontTable.xml"/><Relationship Id="rId10" Type="http://schemas.openxmlformats.org/officeDocument/2006/relationships/hyperlink" Target="https://apps.newyorkfed.org/markets/autorates/sofr"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wyorkfed.org/markets/reference-rates/iosco-compliance"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Hogan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92C9CBD6F55429FA3BDFCD4B3EE57" ma:contentTypeVersion="11" ma:contentTypeDescription="Create a new document." ma:contentTypeScope="" ma:versionID="67e17f457dfe718956fd9fe28c222a70">
  <xsd:schema xmlns:xsd="http://www.w3.org/2001/XMLSchema" xmlns:xs="http://www.w3.org/2001/XMLSchema" xmlns:p="http://schemas.microsoft.com/office/2006/metadata/properties" xmlns:ns3="cc3d02e2-4e31-4535-ab91-e9ed360a982a" xmlns:ns4="0c7284e1-ce76-4a5f-a5ce-f159378241f4" targetNamespace="http://schemas.microsoft.com/office/2006/metadata/properties" ma:root="true" ma:fieldsID="82e99b7d7b809c686764ef7a3c32f63c" ns3:_="" ns4:_="">
    <xsd:import namespace="cc3d02e2-4e31-4535-ab91-e9ed360a982a"/>
    <xsd:import namespace="0c7284e1-ce76-4a5f-a5ce-f159378241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d02e2-4e31-4535-ab91-e9ed360a98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284e1-ce76-4a5f-a5ce-f159378241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155AC-93D7-4296-A32D-EBBEB3BA9C8F}">
  <ds:schemaRefs>
    <ds:schemaRef ds:uri="http://schemas.microsoft.com/sharepoint/v3/contenttype/forms"/>
  </ds:schemaRefs>
</ds:datastoreItem>
</file>

<file path=customXml/itemProps2.xml><?xml version="1.0" encoding="utf-8"?>
<ds:datastoreItem xmlns:ds="http://schemas.openxmlformats.org/officeDocument/2006/customXml" ds:itemID="{4145EDF5-476F-43B9-B983-A3E99A4E7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d02e2-4e31-4535-ab91-e9ed360a982a"/>
    <ds:schemaRef ds:uri="0c7284e1-ce76-4a5f-a5ce-f15937824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AAD53-AD03-491F-A5CC-487CD8AA00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7</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1086027</dc:creator>
  <cp:lastModifiedBy>1087206</cp:lastModifiedBy>
  <cp:revision>2</cp:revision>
  <cp:lastPrinted>2021-06-22T02:38:00Z</cp:lastPrinted>
  <dcterms:created xsi:type="dcterms:W3CDTF">2021-06-29T13:27:00Z</dcterms:created>
  <dcterms:modified xsi:type="dcterms:W3CDTF">2021-06-29T13:27:00Z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0x010100C8A92C9CBD6F55429FA3BDFCD4B3EE57</vt:lpwstr>
  </property>
</Properties>
</file>